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B673" w14:textId="4D37A015" w:rsidR="48AD5BB3" w:rsidRPr="00BF75F4" w:rsidRDefault="3496A6F1" w:rsidP="00BF75F4">
      <w:pPr>
        <w:pStyle w:val="Overskrift1"/>
        <w:rPr>
          <w:rFonts w:ascii="Aptos Display" w:eastAsia="Aptos Display" w:hAnsi="Aptos Display" w:cs="Aptos Display"/>
          <w:sz w:val="32"/>
          <w:szCs w:val="32"/>
        </w:rPr>
      </w:pPr>
      <w:r w:rsidRPr="48AD5BB3">
        <w:rPr>
          <w:rFonts w:ascii="Aptos Display" w:eastAsia="Aptos Display" w:hAnsi="Aptos Display" w:cs="Aptos Display"/>
          <w:b/>
          <w:bCs/>
          <w:sz w:val="32"/>
          <w:szCs w:val="32"/>
        </w:rPr>
        <w:t xml:space="preserve">Årlig redegjørelse etter åpenhetsloven - </w:t>
      </w:r>
      <w:proofErr w:type="spellStart"/>
      <w:r w:rsidRPr="48AD5BB3">
        <w:rPr>
          <w:rFonts w:ascii="Aptos Display" w:eastAsia="Aptos Display" w:hAnsi="Aptos Display" w:cs="Aptos Display"/>
          <w:b/>
          <w:bCs/>
          <w:sz w:val="32"/>
          <w:szCs w:val="32"/>
        </w:rPr>
        <w:t>FKH</w:t>
      </w:r>
      <w:proofErr w:type="spellEnd"/>
      <w:r w:rsidRPr="48AD5BB3">
        <w:rPr>
          <w:rFonts w:ascii="Aptos Display" w:eastAsia="Aptos Display" w:hAnsi="Aptos Display" w:cs="Aptos Display"/>
          <w:b/>
          <w:bCs/>
          <w:sz w:val="32"/>
          <w:szCs w:val="32"/>
        </w:rPr>
        <w:t xml:space="preserve"> AS</w:t>
      </w:r>
    </w:p>
    <w:p w14:paraId="52A6A8CD" w14:textId="1820288A"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Innledning</w:t>
      </w:r>
    </w:p>
    <w:p w14:paraId="2963C4DA" w14:textId="441D2ED9"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Ut fra gjeldene kriterier er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 er omfattet av lov om åpenhet og arbeid med grunnleggende menneskerettigheter og anstendige arbeidsforhold </w:t>
      </w:r>
      <w:hyperlink r:id="rId7">
        <w:r w:rsidRPr="48AD5BB3">
          <w:rPr>
            <w:rStyle w:val="Hyperkobling"/>
            <w:rFonts w:ascii="Aptos" w:eastAsia="Aptos" w:hAnsi="Aptos" w:cs="Aptos"/>
          </w:rPr>
          <w:t>(åpenhetsloven).</w:t>
        </w:r>
      </w:hyperlink>
      <w:r w:rsidRPr="48AD5BB3">
        <w:rPr>
          <w:rFonts w:ascii="Aptos" w:eastAsia="Aptos" w:hAnsi="Aptos" w:cs="Aptos"/>
          <w:color w:val="000000" w:themeColor="text1"/>
        </w:rPr>
        <w:t xml:space="preserve">  Dette dokumentet er den årlige redegjørelsen i henhold til åpenhetslovens §5 for året 2024. Redegjørelsen skal i tråd med lovens krav gjøres tilgjengelig på virksomhetens nettsider. </w:t>
      </w:r>
    </w:p>
    <w:p w14:paraId="5BDE8D5B" w14:textId="166EA714" w:rsidR="3496A6F1" w:rsidRDefault="3496A6F1" w:rsidP="48AD5BB3">
      <w:p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Åpenhetsloven er en norsk lov som skal fremme virksomheters respekt for grunnleggende menneskerettigheter og anstendige arbeidsforhold i forbindelse med produksjon av varer og levering av tjenester. Loven skal også bidra til å sikre allmennheten tilgang til informasjon om hvordan virksomhetene håndterer negative konsekvenser på disse områdene.</w:t>
      </w:r>
    </w:p>
    <w:p w14:paraId="6CD26461" w14:textId="20294233" w:rsidR="3496A6F1" w:rsidRDefault="3496A6F1" w:rsidP="48AD5BB3">
      <w:p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Både nasjonalt og internasjonalt har det over tid utviklet seg stadig økende oppmerksomhet om næringslivets samfunnsansvar, herunder respekt for menneskerettighetene. Åpenhetsloven er en del av en slik utvikling, og innebærer norsk lovregulering av internasjonale retningslinjer om næringslivets menneskerettighetsansvar.</w:t>
      </w:r>
    </w:p>
    <w:p w14:paraId="41C0E7D8" w14:textId="5718A07D"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Krav til virksomheten</w:t>
      </w:r>
    </w:p>
    <w:p w14:paraId="66CA18A1" w14:textId="512260AB" w:rsidR="3496A6F1" w:rsidRDefault="3496A6F1" w:rsidP="48AD5BB3">
      <w:p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Åpenhetsloven forpliktelser kan deles inn i tre overordnede krav:</w:t>
      </w:r>
    </w:p>
    <w:p w14:paraId="327AC764" w14:textId="422FA46D" w:rsidR="3496A6F1" w:rsidRDefault="3496A6F1" w:rsidP="48AD5BB3">
      <w:pPr>
        <w:pStyle w:val="Listeavsnitt"/>
        <w:numPr>
          <w:ilvl w:val="0"/>
          <w:numId w:val="4"/>
        </w:num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Krav til å gjennomføre aktsomhetsvurderinger</w:t>
      </w:r>
    </w:p>
    <w:p w14:paraId="73B94DB6" w14:textId="75B2E2CF" w:rsidR="3496A6F1" w:rsidRDefault="3496A6F1" w:rsidP="48AD5BB3">
      <w:pPr>
        <w:pStyle w:val="Listeavsnitt"/>
        <w:numPr>
          <w:ilvl w:val="0"/>
          <w:numId w:val="4"/>
        </w:num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Årlig redegjørelse av arbeidet knyttet til åpenhetsloven</w:t>
      </w:r>
    </w:p>
    <w:p w14:paraId="0153451E" w14:textId="37C69583" w:rsidR="3496A6F1" w:rsidRDefault="3496A6F1" w:rsidP="48AD5BB3">
      <w:pPr>
        <w:pStyle w:val="Listeavsnitt"/>
        <w:numPr>
          <w:ilvl w:val="0"/>
          <w:numId w:val="4"/>
        </w:numPr>
        <w:shd w:val="clear" w:color="auto" w:fill="FFFFFF" w:themeFill="background1"/>
        <w:spacing w:after="158"/>
        <w:rPr>
          <w:rFonts w:ascii="Aptos" w:eastAsia="Aptos" w:hAnsi="Aptos" w:cs="Aptos"/>
          <w:color w:val="000000" w:themeColor="text1"/>
        </w:rPr>
      </w:pPr>
      <w:r w:rsidRPr="48AD5BB3">
        <w:rPr>
          <w:rFonts w:ascii="Aptos" w:eastAsia="Aptos" w:hAnsi="Aptos" w:cs="Aptos"/>
          <w:color w:val="000000" w:themeColor="text1"/>
        </w:rPr>
        <w:t>Innsynsrett til "enhver" som ber om det etter skriftlig henvendelse</w:t>
      </w:r>
    </w:p>
    <w:p w14:paraId="696CA144" w14:textId="37B86E05" w:rsidR="3496A6F1" w:rsidRDefault="3496A6F1" w:rsidP="48AD5BB3">
      <w:pPr>
        <w:shd w:val="clear" w:color="auto" w:fill="FFFFFF" w:themeFill="background1"/>
        <w:spacing w:after="158"/>
        <w:rPr>
          <w:rFonts w:ascii="Aptos" w:eastAsia="Aptos" w:hAnsi="Aptos" w:cs="Aptos"/>
          <w:color w:val="000000" w:themeColor="text1"/>
        </w:rPr>
      </w:pPr>
      <w:proofErr w:type="gramStart"/>
      <w:r w:rsidRPr="48AD5BB3">
        <w:rPr>
          <w:rFonts w:ascii="Aptos" w:eastAsia="Aptos" w:hAnsi="Aptos" w:cs="Aptos"/>
          <w:color w:val="000000" w:themeColor="text1"/>
        </w:rPr>
        <w:t>For øvrig</w:t>
      </w:r>
      <w:proofErr w:type="gramEnd"/>
      <w:r w:rsidRPr="48AD5BB3">
        <w:rPr>
          <w:rFonts w:ascii="Aptos" w:eastAsia="Aptos" w:hAnsi="Aptos" w:cs="Aptos"/>
          <w:color w:val="000000" w:themeColor="text1"/>
        </w:rPr>
        <w:t xml:space="preserve"> skal aktsomhetsvurderinger og andre plikter etter loven stå i forhold til virksomhetens størrelse, virksomhetens art, konteksten virksomheten finnen sted innenfor og alvorlighetsgraden av, og sannsynligheten for, negative konsekvenser for grunnleggende menneskerettigheter og anstendige arbeidsforhold. </w:t>
      </w:r>
    </w:p>
    <w:p w14:paraId="0F6B2B27" w14:textId="36E52E9E"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Om virksomheten</w:t>
      </w:r>
    </w:p>
    <w:p w14:paraId="29DCC5F8" w14:textId="4C485566" w:rsidR="3496A6F1" w:rsidRDefault="3496A6F1" w:rsidP="48AD5BB3">
      <w:pPr>
        <w:rPr>
          <w:rFonts w:ascii="Aptos" w:eastAsia="Aptos" w:hAnsi="Aptos" w:cs="Aptos"/>
          <w:color w:val="000000" w:themeColor="text1"/>
        </w:rPr>
      </w:pP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 har de markedsmessige rettighetene knyttet til fotballklubben FK Haugesund og står ansvarlig for den daglige driften av klubben. Klubben ble stiftet i 1993 etter vedtak i moderklubbene SK Haugar og Djerv 1919. </w:t>
      </w:r>
    </w:p>
    <w:p w14:paraId="5F6F6483" w14:textId="39F5ABE1" w:rsidR="3496A6F1" w:rsidRDefault="3496A6F1" w:rsidP="48AD5BB3">
      <w:pPr>
        <w:rPr>
          <w:rFonts w:ascii="Aptos" w:eastAsia="Aptos" w:hAnsi="Aptos" w:cs="Aptos"/>
          <w:color w:val="000000" w:themeColor="text1"/>
        </w:rPr>
      </w:pPr>
      <w:proofErr w:type="spellStart"/>
      <w:r w:rsidRPr="48AD5BB3">
        <w:rPr>
          <w:rFonts w:ascii="Aptos" w:eastAsia="Aptos" w:hAnsi="Aptos" w:cs="Aptos"/>
          <w:color w:val="000000" w:themeColor="text1"/>
        </w:rPr>
        <w:lastRenderedPageBreak/>
        <w:t>FKH</w:t>
      </w:r>
      <w:proofErr w:type="spellEnd"/>
      <w:r w:rsidRPr="48AD5BB3">
        <w:rPr>
          <w:rFonts w:ascii="Aptos" w:eastAsia="Aptos" w:hAnsi="Aptos" w:cs="Aptos"/>
          <w:color w:val="000000" w:themeColor="text1"/>
        </w:rPr>
        <w:t xml:space="preserve"> AS hadde i 2024 14,2 årsverk. </w:t>
      </w:r>
    </w:p>
    <w:p w14:paraId="36034977" w14:textId="7658873A"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Daglig leder er ansvarlig for arbeidet med åpenhetsloven med støtte fra øvrig administrasjon. Styret har ansvar for at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 følger åpenhetsloven og publiserer årlig redegjørelse på nettsiden innen 30. juni.  </w:t>
      </w:r>
    </w:p>
    <w:p w14:paraId="6F22E3A3" w14:textId="0ACBAF3D" w:rsidR="3496A6F1" w:rsidRDefault="3496A6F1" w:rsidP="48AD5BB3">
      <w:pPr>
        <w:pStyle w:val="Overskrift2"/>
        <w:rPr>
          <w:rFonts w:ascii="Aptos Display" w:eastAsia="Aptos Display" w:hAnsi="Aptos Display" w:cs="Aptos Display"/>
        </w:rPr>
      </w:pPr>
      <w:proofErr w:type="spellStart"/>
      <w:r w:rsidRPr="48AD5BB3">
        <w:rPr>
          <w:rFonts w:ascii="Aptos Display" w:eastAsia="Aptos Display" w:hAnsi="Aptos Display" w:cs="Aptos Display"/>
        </w:rPr>
        <w:t>FKH</w:t>
      </w:r>
      <w:proofErr w:type="spellEnd"/>
      <w:r w:rsidRPr="48AD5BB3">
        <w:rPr>
          <w:rFonts w:ascii="Aptos Display" w:eastAsia="Aptos Display" w:hAnsi="Aptos Display" w:cs="Aptos Display"/>
        </w:rPr>
        <w:t xml:space="preserve"> AS sin tilnærming til menneskerettigheter og anstendige arbeidsforhold</w:t>
      </w:r>
    </w:p>
    <w:p w14:paraId="3FC98014" w14:textId="072C7F67"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Respekt for enkeltmennesket står sentralt i alt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 er involvert i, og står sentrum for vårt samfunnsansvar og klubbens overordnede strategi. Dette gjenspeiles i konseptet "</w:t>
      </w:r>
      <w:proofErr w:type="spellStart"/>
      <w:r w:rsidRPr="48AD5BB3">
        <w:rPr>
          <w:rFonts w:ascii="Aptos" w:eastAsia="Aptos" w:hAnsi="Aptos" w:cs="Aptos"/>
          <w:i/>
          <w:iCs/>
          <w:color w:val="000000" w:themeColor="text1"/>
        </w:rPr>
        <w:t>mær</w:t>
      </w:r>
      <w:proofErr w:type="spellEnd"/>
      <w:r w:rsidRPr="48AD5BB3">
        <w:rPr>
          <w:rFonts w:ascii="Aptos" w:eastAsia="Aptos" w:hAnsi="Aptos" w:cs="Aptos"/>
          <w:i/>
          <w:iCs/>
          <w:color w:val="000000" w:themeColor="text1"/>
        </w:rPr>
        <w:t xml:space="preserve"> enn tri poeng</w:t>
      </w:r>
      <w:r w:rsidRPr="48AD5BB3">
        <w:rPr>
          <w:rFonts w:ascii="Aptos" w:eastAsia="Aptos" w:hAnsi="Aptos" w:cs="Aptos"/>
          <w:color w:val="000000" w:themeColor="text1"/>
        </w:rPr>
        <w:t xml:space="preserve">" som omfatter klubbens samfunnsprosjekter og </w:t>
      </w:r>
      <w:proofErr w:type="spellStart"/>
      <w:r w:rsidRPr="48AD5BB3">
        <w:rPr>
          <w:rFonts w:ascii="Aptos" w:eastAsia="Aptos" w:hAnsi="Aptos" w:cs="Aptos"/>
          <w:color w:val="000000" w:themeColor="text1"/>
        </w:rPr>
        <w:t>bærekraftsarbeid</w:t>
      </w:r>
      <w:proofErr w:type="spellEnd"/>
      <w:r w:rsidRPr="48AD5BB3">
        <w:rPr>
          <w:rFonts w:ascii="Aptos" w:eastAsia="Aptos" w:hAnsi="Aptos" w:cs="Aptos"/>
          <w:color w:val="000000" w:themeColor="text1"/>
        </w:rPr>
        <w:t>. Det er i dag en helt sentral del av det å være en moderne toppklubb å ta ansvarlighet og bærekraft på alvor. Dette handler konkret om respekt for både miljø og mennesker. Vi tror også på fotballens samlende kraft og mulighet til å påvirke samfunnet positivt. Som toppfotballklubb har vi en ekstra synlig rolle, noe som også forplikter til å gå foran som et godt eksempel og gjøre det vi kan for å unngå at enkeltmennesker påvirkes negativt av våre aktiviteter eller våre forretningsforbindelser.</w:t>
      </w:r>
    </w:p>
    <w:p w14:paraId="2F94B206" w14:textId="00FFAD2B"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Vår forpliktelse om å sørge for respekt for folk bygger på internasjonale standarder for grunnleggende menneskerettigheter. FNs Verdenserklæring slår med full kraft fast at alle mennesker er født med samme menneskeverd og at ingen personer skal utsettes for diskriminering. Respekt og for grunnleggende menneskerettigheter er også en råd tråd i FNs </w:t>
      </w:r>
      <w:proofErr w:type="spellStart"/>
      <w:r w:rsidRPr="48AD5BB3">
        <w:rPr>
          <w:rFonts w:ascii="Aptos" w:eastAsia="Aptos" w:hAnsi="Aptos" w:cs="Aptos"/>
          <w:color w:val="000000" w:themeColor="text1"/>
        </w:rPr>
        <w:t>Bærekraftsmål</w:t>
      </w:r>
      <w:proofErr w:type="spellEnd"/>
      <w:r w:rsidRPr="48AD5BB3">
        <w:rPr>
          <w:rFonts w:ascii="Aptos" w:eastAsia="Aptos" w:hAnsi="Aptos" w:cs="Aptos"/>
          <w:color w:val="000000" w:themeColor="text1"/>
        </w:rPr>
        <w:t xml:space="preserve">, som vi støtter aktivt blant annet gjennom initiativer i regi av NFF og vår sertifisering som Miljøfyrtårn.  Vi støtter opp om bærekraftsamarbeidet mellom FN, UEFA og NFF i </w:t>
      </w:r>
      <w:hyperlink r:id="rId8">
        <w:r w:rsidRPr="48AD5BB3">
          <w:rPr>
            <w:rStyle w:val="Hyperkobling"/>
            <w:rFonts w:ascii="Aptos" w:eastAsia="Aptos" w:hAnsi="Aptos" w:cs="Aptos"/>
          </w:rPr>
          <w:t>"Football For The Goals",</w:t>
        </w:r>
      </w:hyperlink>
      <w:r w:rsidRPr="48AD5BB3">
        <w:rPr>
          <w:rFonts w:ascii="Aptos" w:eastAsia="Aptos" w:hAnsi="Aptos" w:cs="Aptos"/>
          <w:color w:val="000000" w:themeColor="text1"/>
        </w:rPr>
        <w:t xml:space="preserve"> som skal engasjere fotballen og store aktører til å utnytte sportens globale fotavtrykk for å fremme bærekraft, likhet, menneskerettigheter og klimahandlinger og dermed bidra til FNs </w:t>
      </w:r>
      <w:proofErr w:type="spellStart"/>
      <w:r w:rsidRPr="48AD5BB3">
        <w:rPr>
          <w:rFonts w:ascii="Aptos" w:eastAsia="Aptos" w:hAnsi="Aptos" w:cs="Aptos"/>
          <w:color w:val="000000" w:themeColor="text1"/>
        </w:rPr>
        <w:t>bærekraftsmål</w:t>
      </w:r>
      <w:proofErr w:type="spellEnd"/>
      <w:r w:rsidRPr="48AD5BB3">
        <w:rPr>
          <w:rFonts w:ascii="Aptos" w:eastAsia="Aptos" w:hAnsi="Aptos" w:cs="Aptos"/>
          <w:color w:val="000000" w:themeColor="text1"/>
        </w:rPr>
        <w:t xml:space="preserve">. </w:t>
      </w:r>
    </w:p>
    <w:p w14:paraId="5F87CE38" w14:textId="59F1395C"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Et hovedfokus for åpenhetsloven er utfordringene knyttet til brudd på menneskerettighetene og anstendige arbeidsforhold i globale verdikjeder, slik som menneskehandel og barnearbeid. FNs retningslinjer for ansvarlig næringsliv og menneskerettigheter </w:t>
      </w:r>
      <w:hyperlink r:id="rId9">
        <w:r w:rsidRPr="48AD5BB3">
          <w:rPr>
            <w:rStyle w:val="Hyperkobling"/>
            <w:rFonts w:ascii="Aptos" w:eastAsia="Aptos" w:hAnsi="Aptos" w:cs="Aptos"/>
          </w:rPr>
          <w:t xml:space="preserve">(UN </w:t>
        </w:r>
        <w:proofErr w:type="spellStart"/>
        <w:r w:rsidRPr="48AD5BB3">
          <w:rPr>
            <w:rStyle w:val="Hyperkobling"/>
            <w:rFonts w:ascii="Aptos" w:eastAsia="Aptos" w:hAnsi="Aptos" w:cs="Aptos"/>
          </w:rPr>
          <w:t>Guiding</w:t>
        </w:r>
        <w:proofErr w:type="spellEnd"/>
        <w:r w:rsidRPr="48AD5BB3">
          <w:rPr>
            <w:rStyle w:val="Hyperkobling"/>
            <w:rFonts w:ascii="Aptos" w:eastAsia="Aptos" w:hAnsi="Aptos" w:cs="Aptos"/>
          </w:rPr>
          <w:t xml:space="preserve"> </w:t>
        </w:r>
        <w:proofErr w:type="spellStart"/>
        <w:r w:rsidRPr="48AD5BB3">
          <w:rPr>
            <w:rStyle w:val="Hyperkobling"/>
            <w:rFonts w:ascii="Aptos" w:eastAsia="Aptos" w:hAnsi="Aptos" w:cs="Aptos"/>
          </w:rPr>
          <w:t>Principles</w:t>
        </w:r>
        <w:proofErr w:type="spellEnd"/>
        <w:r w:rsidRPr="48AD5BB3">
          <w:rPr>
            <w:rStyle w:val="Hyperkobling"/>
            <w:rFonts w:ascii="Aptos" w:eastAsia="Aptos" w:hAnsi="Aptos" w:cs="Aptos"/>
          </w:rPr>
          <w:t xml:space="preserve"> </w:t>
        </w:r>
        <w:proofErr w:type="spellStart"/>
        <w:r w:rsidRPr="48AD5BB3">
          <w:rPr>
            <w:rStyle w:val="Hyperkobling"/>
            <w:rFonts w:ascii="Aptos" w:eastAsia="Aptos" w:hAnsi="Aptos" w:cs="Aptos"/>
          </w:rPr>
          <w:t>on</w:t>
        </w:r>
        <w:proofErr w:type="spellEnd"/>
        <w:r w:rsidRPr="48AD5BB3">
          <w:rPr>
            <w:rStyle w:val="Hyperkobling"/>
            <w:rFonts w:ascii="Aptos" w:eastAsia="Aptos" w:hAnsi="Aptos" w:cs="Aptos"/>
          </w:rPr>
          <w:t xml:space="preserve"> Business and Human Rights)</w:t>
        </w:r>
      </w:hyperlink>
      <w:r w:rsidRPr="48AD5BB3">
        <w:rPr>
          <w:rFonts w:ascii="Aptos" w:eastAsia="Aptos" w:hAnsi="Aptos" w:cs="Aptos"/>
          <w:color w:val="000000" w:themeColor="text1"/>
        </w:rPr>
        <w:t xml:space="preserve"> slår fast at selv om det er stater som har hovedansvar for å beskytte disse rettighetene har bedrifter et selvstendig ansvar for å sørge for at de ikke blir innblandet i brudd. Dette ansvaret gjelder for toppklubber på samme måte som andre selskaper. I fotballen påhviler det eksempelvis et særskilt ansvar knyttet til kjøp og salg av unge spillere fra andre kontinenter. </w:t>
      </w:r>
    </w:p>
    <w:p w14:paraId="3A3B5235" w14:textId="27382E5E"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lastRenderedPageBreak/>
        <w:t xml:space="preserve">Sammenhengen mellom fotball og internasjonale menneskerettighetsstandarder har også blitt aktualisert i forbindelse med fotball-VM og autoritære staters misbruk av "det vakre spillet" gjennom sportsvasking. Norsk fotball står i utgangspunktet støtt på demokratiske verdier, der menneskerettighetsstandarder står helt sentralt.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stiller seg eksempelvis bak Fotballtinget sitt vedtak fra 2022 om at treningsleirer og samarbeidsavtaler ikke skal inngås med land som begår systematiske og grove brudd på menneskerettigheter. </w:t>
      </w:r>
    </w:p>
    <w:p w14:paraId="79D3701A" w14:textId="13D450DF"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Respekt for menneskerettigheter dreier seg imidlertid ikke bare om store utfordringer globalt. Grunnleggende sett handler det om å respektere menneskeverdet i alle sammenhenger. </w:t>
      </w:r>
    </w:p>
    <w:p w14:paraId="1E763FB5" w14:textId="6F91BE27"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For å møte de spesifikke kravene i åpenhetsloven gjør vi følgende: </w:t>
      </w:r>
    </w:p>
    <w:p w14:paraId="3DB3C0CA" w14:textId="6D46F876" w:rsidR="3496A6F1" w:rsidRDefault="3496A6F1" w:rsidP="48AD5BB3">
      <w:pPr>
        <w:pStyle w:val="Listeavsnitt"/>
        <w:numPr>
          <w:ilvl w:val="0"/>
          <w:numId w:val="3"/>
        </w:numPr>
        <w:rPr>
          <w:rFonts w:ascii="Aptos" w:eastAsia="Aptos" w:hAnsi="Aptos" w:cs="Aptos"/>
          <w:color w:val="000000" w:themeColor="text1"/>
        </w:rPr>
      </w:pPr>
      <w:r w:rsidRPr="48AD5BB3">
        <w:rPr>
          <w:rFonts w:ascii="Aptos" w:eastAsia="Aptos" w:hAnsi="Aptos" w:cs="Aptos"/>
          <w:color w:val="000000" w:themeColor="text1"/>
        </w:rPr>
        <w:t xml:space="preserve">Vi gjennomfører aktsomhetsvurderinger i tråd med FNs og OECDs retningslinjer for ansvarlig næringsliv, for å forebygge og håndtere risiko for menneskerettighetsbrudd i egen virksomhet og i leverandørkjeden. </w:t>
      </w:r>
    </w:p>
    <w:p w14:paraId="5255AD6A" w14:textId="3D7186AB" w:rsidR="3496A6F1" w:rsidRDefault="3496A6F1" w:rsidP="48AD5BB3">
      <w:pPr>
        <w:pStyle w:val="Listeavsnitt"/>
        <w:numPr>
          <w:ilvl w:val="0"/>
          <w:numId w:val="3"/>
        </w:numPr>
        <w:rPr>
          <w:rFonts w:ascii="Aptos" w:eastAsia="Aptos" w:hAnsi="Aptos" w:cs="Aptos"/>
          <w:color w:val="000000" w:themeColor="text1"/>
        </w:rPr>
      </w:pPr>
      <w:r w:rsidRPr="48AD5BB3">
        <w:rPr>
          <w:rFonts w:ascii="Aptos" w:eastAsia="Aptos" w:hAnsi="Aptos" w:cs="Aptos"/>
          <w:color w:val="000000" w:themeColor="text1"/>
        </w:rPr>
        <w:t>Vår innkjøpsrutine er revidert for å være i tråd med kravene i åpenhetsloven</w:t>
      </w:r>
    </w:p>
    <w:p w14:paraId="09EC4FC0" w14:textId="5042E62A" w:rsidR="3496A6F1" w:rsidRDefault="3496A6F1" w:rsidP="48AD5BB3">
      <w:pPr>
        <w:pStyle w:val="Listeavsnitt"/>
        <w:numPr>
          <w:ilvl w:val="0"/>
          <w:numId w:val="3"/>
        </w:numPr>
        <w:rPr>
          <w:rFonts w:ascii="Aptos" w:eastAsia="Aptos" w:hAnsi="Aptos" w:cs="Aptos"/>
          <w:color w:val="000000" w:themeColor="text1"/>
        </w:rPr>
      </w:pPr>
      <w:r w:rsidRPr="48AD5BB3">
        <w:rPr>
          <w:rFonts w:ascii="Aptos" w:eastAsia="Aptos" w:hAnsi="Aptos" w:cs="Aptos"/>
          <w:color w:val="000000" w:themeColor="text1"/>
        </w:rPr>
        <w:t>Vi rapporterer årlig i henhold til kravet om offentlig redegjørelse om aktsomhetsvurderingene, publiseres årlig innen 30. juni.</w:t>
      </w:r>
    </w:p>
    <w:p w14:paraId="5D27925E" w14:textId="0151D1B5" w:rsidR="3496A6F1" w:rsidRDefault="3496A6F1" w:rsidP="48AD5BB3">
      <w:pPr>
        <w:pStyle w:val="Listeavsnitt"/>
        <w:numPr>
          <w:ilvl w:val="0"/>
          <w:numId w:val="3"/>
        </w:numPr>
        <w:rPr>
          <w:rFonts w:ascii="Aptos" w:eastAsia="Aptos" w:hAnsi="Aptos" w:cs="Aptos"/>
          <w:color w:val="000000" w:themeColor="text1"/>
        </w:rPr>
      </w:pPr>
      <w:r w:rsidRPr="48AD5BB3">
        <w:rPr>
          <w:rFonts w:ascii="Aptos" w:eastAsia="Aptos" w:hAnsi="Aptos" w:cs="Aptos"/>
          <w:color w:val="000000" w:themeColor="text1"/>
        </w:rPr>
        <w:t xml:space="preserve">Vi svarer på skriftlige informasjonskrav om våre aktsomhetsvurderinger i henhold til åpenhetsloven. </w:t>
      </w:r>
    </w:p>
    <w:p w14:paraId="095335A2" w14:textId="4B13F3B8" w:rsidR="48AD5BB3" w:rsidRDefault="48AD5BB3" w:rsidP="48AD5BB3">
      <w:pPr>
        <w:keepNext/>
        <w:keepLines/>
        <w:spacing w:before="160" w:after="80"/>
        <w:rPr>
          <w:rFonts w:ascii="Aptos Display" w:eastAsia="Aptos Display" w:hAnsi="Aptos Display" w:cs="Aptos Display"/>
          <w:color w:val="0F4761" w:themeColor="accent1" w:themeShade="BF"/>
          <w:sz w:val="32"/>
          <w:szCs w:val="32"/>
        </w:rPr>
      </w:pPr>
    </w:p>
    <w:p w14:paraId="6967F9B4" w14:textId="50808085"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Hvordan vi jobber for å fremme respekt for menneskerettigheter i egn virksomhet og blant våre forretningsforbindelser</w:t>
      </w:r>
    </w:p>
    <w:p w14:paraId="67EE4C97" w14:textId="581F3AD7" w:rsidR="3496A6F1" w:rsidRDefault="3496A6F1" w:rsidP="48AD5BB3">
      <w:pPr>
        <w:rPr>
          <w:rFonts w:ascii="Aptos" w:eastAsia="Aptos" w:hAnsi="Aptos" w:cs="Aptos"/>
          <w:color w:val="000000" w:themeColor="text1"/>
        </w:rPr>
      </w:pPr>
      <w:r w:rsidRPr="48AD5BB3">
        <w:rPr>
          <w:rFonts w:ascii="Aptos" w:eastAsia="Aptos" w:hAnsi="Aptos" w:cs="Aptos"/>
          <w:b/>
          <w:bCs/>
          <w:color w:val="000000" w:themeColor="text1"/>
        </w:rPr>
        <w:t>Respekt for menneskene i egen organisasjon</w:t>
      </w:r>
    </w:p>
    <w:p w14:paraId="2FB28343" w14:textId="57E256B0"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Ansvaret for å sikre respekt for folkene rundt oss må begynne i egen organisasjon. Alle spillere, ansatte og andre som jobber i og for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skal behandles med respekt og verdighet. Ingen skal utsettes for diskriminering og alle skal behandles likt og rettferdig uavhengig av kjønn, alder, legning, livssyn, språk og nasjonalitet. Vi har nulltoleranse for trakassering, hets og diskriminering. Arbeidsforhold for ansatte er regulert av lover og regelverk for arbeidsmiljø, likestilling og personvern. Vi respekterer fagforeningsfrihet, både for spillere og andre ansatte. </w:t>
      </w:r>
    </w:p>
    <w:p w14:paraId="63F674D9" w14:textId="77777777" w:rsidR="00BF75F4" w:rsidRDefault="00BF75F4" w:rsidP="48AD5BB3">
      <w:pPr>
        <w:rPr>
          <w:rFonts w:ascii="Aptos" w:eastAsia="Aptos" w:hAnsi="Aptos" w:cs="Aptos"/>
          <w:color w:val="000000" w:themeColor="text1"/>
        </w:rPr>
      </w:pPr>
    </w:p>
    <w:p w14:paraId="33F703EE" w14:textId="77777777" w:rsidR="00BF75F4" w:rsidRDefault="00BF75F4" w:rsidP="48AD5BB3">
      <w:pPr>
        <w:rPr>
          <w:rFonts w:ascii="Aptos" w:eastAsia="Aptos" w:hAnsi="Aptos" w:cs="Aptos"/>
          <w:color w:val="000000" w:themeColor="text1"/>
        </w:rPr>
      </w:pPr>
    </w:p>
    <w:p w14:paraId="1982B1F3" w14:textId="7ACCB67D" w:rsidR="3496A6F1" w:rsidRDefault="3496A6F1" w:rsidP="48AD5BB3">
      <w:pPr>
        <w:rPr>
          <w:rFonts w:ascii="Aptos" w:eastAsia="Aptos" w:hAnsi="Aptos" w:cs="Aptos"/>
          <w:color w:val="000000" w:themeColor="text1"/>
        </w:rPr>
      </w:pPr>
      <w:r w:rsidRPr="48AD5BB3">
        <w:rPr>
          <w:rFonts w:ascii="Aptos" w:eastAsia="Aptos" w:hAnsi="Aptos" w:cs="Aptos"/>
          <w:b/>
          <w:bCs/>
          <w:color w:val="000000" w:themeColor="text1"/>
        </w:rPr>
        <w:lastRenderedPageBreak/>
        <w:t>På og rundt stadion</w:t>
      </w:r>
    </w:p>
    <w:p w14:paraId="221F8605" w14:textId="61C06444"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Vårt mål er å skape glede og begeistring gjennom det som skjer på og rundt banen. Alle som kommer på stadion for å se våre lag skal kunne føle seg trygge uten å oppleve trakassering eller diskriminering. Nulltoleransen for dette gjelder i alle sammenhenger. </w:t>
      </w:r>
    </w:p>
    <w:p w14:paraId="7F30FDFD" w14:textId="396F8AE0" w:rsidR="3496A6F1" w:rsidRDefault="3496A6F1" w:rsidP="48AD5BB3">
      <w:pPr>
        <w:rPr>
          <w:rFonts w:ascii="Aptos" w:eastAsia="Aptos" w:hAnsi="Aptos" w:cs="Aptos"/>
          <w:color w:val="000000" w:themeColor="text1"/>
        </w:rPr>
      </w:pP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jobber aktivt for å sikre trygge rammer på en rekke prioriterte områder i tråd med </w:t>
      </w:r>
      <w:hyperlink r:id="rId10">
        <w:r w:rsidRPr="48AD5BB3">
          <w:rPr>
            <w:rStyle w:val="Hyperkobling"/>
            <w:rFonts w:ascii="Aptos" w:eastAsia="Aptos" w:hAnsi="Aptos" w:cs="Aptos"/>
          </w:rPr>
          <w:t xml:space="preserve">UEFA Football </w:t>
        </w:r>
        <w:proofErr w:type="spellStart"/>
        <w:r w:rsidRPr="48AD5BB3">
          <w:rPr>
            <w:rStyle w:val="Hyperkobling"/>
            <w:rFonts w:ascii="Aptos" w:eastAsia="Aptos" w:hAnsi="Aptos" w:cs="Aptos"/>
          </w:rPr>
          <w:t>Sustainability</w:t>
        </w:r>
        <w:proofErr w:type="spellEnd"/>
        <w:r w:rsidRPr="48AD5BB3">
          <w:rPr>
            <w:rStyle w:val="Hyperkobling"/>
            <w:rFonts w:ascii="Aptos" w:eastAsia="Aptos" w:hAnsi="Aptos" w:cs="Aptos"/>
          </w:rPr>
          <w:t xml:space="preserve"> </w:t>
        </w:r>
        <w:proofErr w:type="spellStart"/>
        <w:r w:rsidRPr="48AD5BB3">
          <w:rPr>
            <w:rStyle w:val="Hyperkobling"/>
            <w:rFonts w:ascii="Aptos" w:eastAsia="Aptos" w:hAnsi="Aptos" w:cs="Aptos"/>
          </w:rPr>
          <w:t>Strategy</w:t>
        </w:r>
        <w:proofErr w:type="spellEnd"/>
        <w:r w:rsidRPr="48AD5BB3">
          <w:rPr>
            <w:rStyle w:val="Hyperkobling"/>
            <w:rFonts w:ascii="Aptos" w:eastAsia="Aptos" w:hAnsi="Aptos" w:cs="Aptos"/>
          </w:rPr>
          <w:t xml:space="preserve"> 2023:</w:t>
        </w:r>
      </w:hyperlink>
    </w:p>
    <w:p w14:paraId="68BE355D" w14:textId="18BC642B"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bekjempe vold og trusler</w:t>
      </w:r>
    </w:p>
    <w:p w14:paraId="3035575A" w14:textId="68A0DB79"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bekjempe rasisme</w:t>
      </w:r>
    </w:p>
    <w:p w14:paraId="7C512AF8" w14:textId="4D128056"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bekjempe seksuell trakassering</w:t>
      </w:r>
    </w:p>
    <w:p w14:paraId="62A8D376" w14:textId="266ED3B3"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slå ned på hets knyttet til seksuell legning</w:t>
      </w:r>
    </w:p>
    <w:p w14:paraId="79141073" w14:textId="5F53BCCC"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beskytte barn og unges velferd</w:t>
      </w:r>
    </w:p>
    <w:p w14:paraId="76520BE0" w14:textId="239504E7"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legge til rette for inkludering av minoriteter</w:t>
      </w:r>
    </w:p>
    <w:p w14:paraId="2B3C41B8" w14:textId="2CDECBAC" w:rsidR="3496A6F1" w:rsidRDefault="3496A6F1" w:rsidP="48AD5BB3">
      <w:pPr>
        <w:pStyle w:val="Listeavsnitt"/>
        <w:numPr>
          <w:ilvl w:val="0"/>
          <w:numId w:val="2"/>
        </w:numPr>
        <w:rPr>
          <w:rFonts w:ascii="Aptos" w:eastAsia="Aptos" w:hAnsi="Aptos" w:cs="Aptos"/>
          <w:color w:val="000000" w:themeColor="text1"/>
        </w:rPr>
      </w:pPr>
      <w:r w:rsidRPr="48AD5BB3">
        <w:rPr>
          <w:rFonts w:ascii="Aptos" w:eastAsia="Aptos" w:hAnsi="Aptos" w:cs="Aptos"/>
          <w:color w:val="000000" w:themeColor="text1"/>
        </w:rPr>
        <w:t>legge til rette for personer med nedsatte funksjonsevner</w:t>
      </w:r>
    </w:p>
    <w:p w14:paraId="3D8C854C" w14:textId="53E6E5FD"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Vårt </w:t>
      </w:r>
      <w:hyperlink r:id="rId11">
        <w:r w:rsidRPr="48AD5BB3">
          <w:rPr>
            <w:rStyle w:val="Hyperkobling"/>
            <w:rFonts w:ascii="Aptos" w:eastAsia="Aptos" w:hAnsi="Aptos" w:cs="Aptos"/>
          </w:rPr>
          <w:t>arenareglement</w:t>
        </w:r>
      </w:hyperlink>
      <w:r w:rsidRPr="48AD5BB3">
        <w:rPr>
          <w:rFonts w:ascii="Aptos" w:eastAsia="Aptos" w:hAnsi="Aptos" w:cs="Aptos"/>
          <w:color w:val="000000" w:themeColor="text1"/>
        </w:rPr>
        <w:t xml:space="preserve"> tar opp i seg disse forholdene. Handlinger som bryter med vårt </w:t>
      </w:r>
      <w:proofErr w:type="gramStart"/>
      <w:r w:rsidRPr="48AD5BB3">
        <w:rPr>
          <w:rFonts w:ascii="Aptos" w:eastAsia="Aptos" w:hAnsi="Aptos" w:cs="Aptos"/>
          <w:color w:val="000000" w:themeColor="text1"/>
        </w:rPr>
        <w:t>arenareglement</w:t>
      </w:r>
      <w:proofErr w:type="gramEnd"/>
      <w:r w:rsidRPr="48AD5BB3">
        <w:rPr>
          <w:rFonts w:ascii="Aptos" w:eastAsia="Aptos" w:hAnsi="Aptos" w:cs="Aptos"/>
          <w:color w:val="000000" w:themeColor="text1"/>
        </w:rPr>
        <w:t xml:space="preserve"> vil bli fulgt opp av klubben i tråd med vårt </w:t>
      </w:r>
      <w:hyperlink r:id="rId12">
        <w:r w:rsidRPr="48AD5BB3">
          <w:rPr>
            <w:rStyle w:val="Hyperkobling"/>
            <w:rFonts w:ascii="Aptos" w:eastAsia="Aptos" w:hAnsi="Aptos" w:cs="Aptos"/>
          </w:rPr>
          <w:t>sanksjonsreglement.</w:t>
        </w:r>
      </w:hyperlink>
      <w:r w:rsidRPr="48AD5BB3">
        <w:rPr>
          <w:rFonts w:ascii="Aptos" w:eastAsia="Aptos" w:hAnsi="Aptos" w:cs="Aptos"/>
          <w:color w:val="000000" w:themeColor="text1"/>
        </w:rPr>
        <w:t xml:space="preserve"> </w:t>
      </w:r>
    </w:p>
    <w:p w14:paraId="4F233101" w14:textId="6362BCFA" w:rsidR="3496A6F1" w:rsidRDefault="3496A6F1" w:rsidP="48AD5BB3">
      <w:pPr>
        <w:rPr>
          <w:rFonts w:ascii="Aptos" w:eastAsia="Aptos" w:hAnsi="Aptos" w:cs="Aptos"/>
          <w:color w:val="000000" w:themeColor="text1"/>
        </w:rPr>
      </w:pPr>
      <w:r w:rsidRPr="48AD5BB3">
        <w:rPr>
          <w:rFonts w:ascii="Aptos" w:eastAsia="Aptos" w:hAnsi="Aptos" w:cs="Aptos"/>
          <w:b/>
          <w:bCs/>
          <w:color w:val="000000" w:themeColor="text1"/>
        </w:rPr>
        <w:t>Våre innkjøp</w:t>
      </w:r>
    </w:p>
    <w:p w14:paraId="071D96EE" w14:textId="4D6B8BC8"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Vi skal opptre ansvarlig også gjennom våre innkjøp, på bakgrunn av dette er det utarbeidet egen innkjøpsrutine. Som toppklubb har vi en betydelig påvirkningskraft, og vi er opptatt av at vår leverandørkjede er bærekraftig. Vi gjennomfører </w:t>
      </w:r>
      <w:proofErr w:type="spellStart"/>
      <w:r w:rsidRPr="48AD5BB3">
        <w:rPr>
          <w:rFonts w:ascii="Aptos" w:eastAsia="Aptos" w:hAnsi="Aptos" w:cs="Aptos"/>
          <w:color w:val="000000" w:themeColor="text1"/>
        </w:rPr>
        <w:t>aksomhetsvurderinger</w:t>
      </w:r>
      <w:proofErr w:type="spellEnd"/>
      <w:r w:rsidRPr="48AD5BB3">
        <w:rPr>
          <w:rFonts w:ascii="Aptos" w:eastAsia="Aptos" w:hAnsi="Aptos" w:cs="Aptos"/>
          <w:color w:val="000000" w:themeColor="text1"/>
        </w:rPr>
        <w:t xml:space="preserve"> for våre innkjøp, og forventer at våre leverandører selv opptrer ansvarlig i egen drift og mot sine underleverandører. Vår innkjøpsrutine er revidert og presisert i forhold til dette. Grunnleggende menneskerettigheter og anstendige arbeidsforhold skal respekteres i produksjon av de varer og tjenester som leveres. </w:t>
      </w:r>
    </w:p>
    <w:p w14:paraId="26B49700" w14:textId="553BF011"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Våre lokale partnere og leverandører representerer lav risiko i denne sammenheng. For sportsutstyr, profilartikler og anleggsmateriell der noe eller deler av produksjonen skjer utenfor Europa er risikoen for arbeidere i leverandørkjeden høyere. </w:t>
      </w:r>
    </w:p>
    <w:p w14:paraId="286E2988" w14:textId="53E220C6"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Virksomhetens aktsomhetsvurderinger og oppfølging</w:t>
      </w:r>
    </w:p>
    <w:p w14:paraId="2440EC6B" w14:textId="23794536"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Minimum en gang i året skal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 gjøre en vurdering av risikoen for faktiske og </w:t>
      </w:r>
      <w:proofErr w:type="gramStart"/>
      <w:r w:rsidRPr="48AD5BB3">
        <w:rPr>
          <w:rFonts w:ascii="Aptos" w:eastAsia="Aptos" w:hAnsi="Aptos" w:cs="Aptos"/>
          <w:color w:val="000000" w:themeColor="text1"/>
        </w:rPr>
        <w:t>potensielle</w:t>
      </w:r>
      <w:proofErr w:type="gramEnd"/>
      <w:r w:rsidRPr="48AD5BB3">
        <w:rPr>
          <w:rFonts w:ascii="Aptos" w:eastAsia="Aptos" w:hAnsi="Aptos" w:cs="Aptos"/>
          <w:color w:val="000000" w:themeColor="text1"/>
        </w:rPr>
        <w:t xml:space="preserve"> negative konsekvenser for grunnleggende menneskerettigheter og anstendige arbeidsforhold i egen virksomhet, i leverandørkjeden og blant partnere.  Ytterligere vurderinger gjennomføres fortløpende gjennom året hvis forholdene tilsier det, inkludert ved inngåelse av nye leverandørforhold eller partnerforhold. </w:t>
      </w:r>
    </w:p>
    <w:p w14:paraId="794797AE" w14:textId="309D606C"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lastRenderedPageBreak/>
        <w:t xml:space="preserve">Det vil være hensiktsmessig at den årlige gjennomgangen tas i forkant av sesong, når de fleste avtaler med partnere og leverandører reforhandles. </w:t>
      </w:r>
    </w:p>
    <w:p w14:paraId="396ED9B9" w14:textId="6E4F1E63"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Vi har gjennom 2024 ikke avdekket brudd på menneskerettigheter og anstendige arbeidsforhold internt eller i vår leverandørkjede. Det har derfor ikke blitt gjennomført tiltak overfor leverandører. </w:t>
      </w:r>
    </w:p>
    <w:p w14:paraId="267ADCDF" w14:textId="41927D3F"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Vurdering av leverandører gjøres på bakgrunn av bransjerisiko, geografisk risiko (flertallet av våre leverandører er lokale eller nasjonale, selskapets historikk og leverandørenes egne retningslinjer og annen dokumentasjon. Det er klubbens inntrykk at disse forholdene gis et stadig større fokus. </w:t>
      </w:r>
    </w:p>
    <w:p w14:paraId="7F387539" w14:textId="42EB3B94"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I forbindes med kamper på stadion registrerte vi i 2024 12 uønskede hendelser. Disse omhandlet blant annet forhold som blussing, oppskyting av fyrverkeri, banestorming og kasting av gjenstander inn på banen. Det gjennomføres regelmessig møter med klubbens egen supporterklubb for å forebygge episoder som involverer våre egne kjernesupportere. </w:t>
      </w:r>
    </w:p>
    <w:p w14:paraId="3B4B2D96" w14:textId="50E5A8DF"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Klubbens strategi er å handle raskt og prinsippfast når uønskede hendelser inntreffer. Sanksjonsreglementet benyttes aktivt for å håndtere episodene som har dukket opp. </w:t>
      </w:r>
    </w:p>
    <w:p w14:paraId="30A1345B" w14:textId="1C149637" w:rsidR="3496A6F1" w:rsidRDefault="3496A6F1" w:rsidP="48AD5BB3">
      <w:pPr>
        <w:pStyle w:val="Overskrift2"/>
        <w:rPr>
          <w:rFonts w:ascii="Aptos Display" w:eastAsia="Aptos Display" w:hAnsi="Aptos Display" w:cs="Aptos Display"/>
        </w:rPr>
      </w:pPr>
      <w:r w:rsidRPr="48AD5BB3">
        <w:rPr>
          <w:rFonts w:ascii="Aptos Display" w:eastAsia="Aptos Display" w:hAnsi="Aptos Display" w:cs="Aptos Display"/>
        </w:rPr>
        <w:t>Kontakt</w:t>
      </w:r>
    </w:p>
    <w:p w14:paraId="5464A118" w14:textId="79F74680"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Hvis det skulle være noen spørsmål om vårt arbeid knyttet til menneskerettigheter og bærekraft </w:t>
      </w:r>
      <w:proofErr w:type="gramStart"/>
      <w:r w:rsidRPr="48AD5BB3">
        <w:rPr>
          <w:rFonts w:ascii="Aptos" w:eastAsia="Aptos" w:hAnsi="Aptos" w:cs="Aptos"/>
          <w:color w:val="000000" w:themeColor="text1"/>
        </w:rPr>
        <w:t>for øvrig</w:t>
      </w:r>
      <w:proofErr w:type="gramEnd"/>
      <w:r w:rsidRPr="48AD5BB3">
        <w:rPr>
          <w:rFonts w:ascii="Aptos" w:eastAsia="Aptos" w:hAnsi="Aptos" w:cs="Aptos"/>
          <w:color w:val="000000" w:themeColor="text1"/>
        </w:rPr>
        <w:t xml:space="preserve"> kan disse meldes på </w:t>
      </w:r>
      <w:hyperlink r:id="rId13">
        <w:r w:rsidRPr="48AD5BB3">
          <w:rPr>
            <w:rStyle w:val="Hyperkobling"/>
            <w:rFonts w:ascii="Aptos" w:eastAsia="Aptos" w:hAnsi="Aptos" w:cs="Aptos"/>
          </w:rPr>
          <w:t>media@fkh.no</w:t>
        </w:r>
      </w:hyperlink>
      <w:r w:rsidRPr="48AD5BB3">
        <w:rPr>
          <w:rFonts w:ascii="Aptos" w:eastAsia="Aptos" w:hAnsi="Aptos" w:cs="Aptos"/>
          <w:color w:val="000000" w:themeColor="text1"/>
        </w:rPr>
        <w:t xml:space="preserve"> </w:t>
      </w:r>
    </w:p>
    <w:p w14:paraId="766C8E88" w14:textId="136AB865" w:rsidR="48AD5BB3" w:rsidRDefault="48AD5BB3" w:rsidP="48AD5BB3">
      <w:pPr>
        <w:rPr>
          <w:rFonts w:ascii="Aptos" w:eastAsia="Aptos" w:hAnsi="Aptos" w:cs="Aptos"/>
          <w:color w:val="000000" w:themeColor="text1"/>
        </w:rPr>
      </w:pPr>
    </w:p>
    <w:p w14:paraId="78BC1277" w14:textId="7CB41B7A"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 xml:space="preserve">På vegne av </w:t>
      </w:r>
      <w:proofErr w:type="spellStart"/>
      <w:r w:rsidRPr="48AD5BB3">
        <w:rPr>
          <w:rFonts w:ascii="Aptos" w:eastAsia="Aptos" w:hAnsi="Aptos" w:cs="Aptos"/>
          <w:color w:val="000000" w:themeColor="text1"/>
        </w:rPr>
        <w:t>FKH</w:t>
      </w:r>
      <w:proofErr w:type="spellEnd"/>
      <w:r w:rsidRPr="48AD5BB3">
        <w:rPr>
          <w:rFonts w:ascii="Aptos" w:eastAsia="Aptos" w:hAnsi="Aptos" w:cs="Aptos"/>
          <w:color w:val="000000" w:themeColor="text1"/>
        </w:rPr>
        <w:t xml:space="preserve"> AS,</w:t>
      </w:r>
    </w:p>
    <w:p w14:paraId="6ECD3116" w14:textId="200D69AF"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Martin Fauskanger</w:t>
      </w:r>
    </w:p>
    <w:p w14:paraId="4FFE0852" w14:textId="1D3D9BE1" w:rsidR="3496A6F1" w:rsidRDefault="3496A6F1" w:rsidP="48AD5BB3">
      <w:pPr>
        <w:rPr>
          <w:rFonts w:ascii="Aptos" w:eastAsia="Aptos" w:hAnsi="Aptos" w:cs="Aptos"/>
          <w:color w:val="000000" w:themeColor="text1"/>
        </w:rPr>
      </w:pPr>
      <w:r w:rsidRPr="48AD5BB3">
        <w:rPr>
          <w:rFonts w:ascii="Aptos" w:eastAsia="Aptos" w:hAnsi="Aptos" w:cs="Aptos"/>
          <w:color w:val="000000" w:themeColor="text1"/>
        </w:rPr>
        <w:t>daglig leder</w:t>
      </w:r>
    </w:p>
    <w:p w14:paraId="6C76A0DA" w14:textId="328AD2B5" w:rsidR="48AD5BB3" w:rsidRDefault="48AD5BB3">
      <w:r>
        <w:br w:type="page"/>
      </w:r>
    </w:p>
    <w:p w14:paraId="7DE06220" w14:textId="28FB38AD" w:rsidR="5CCBA595" w:rsidRDefault="5CCBA595" w:rsidP="48AD5BB3">
      <w:pPr>
        <w:pStyle w:val="Overskrift1"/>
        <w:rPr>
          <w:rFonts w:ascii="Calibri Light" w:eastAsia="Calibri Light" w:hAnsi="Calibri Light" w:cs="Calibri Light"/>
          <w:color w:val="2F5496"/>
        </w:rPr>
      </w:pPr>
      <w:r w:rsidRPr="48AD5BB3">
        <w:rPr>
          <w:rFonts w:ascii="Calibri Light" w:eastAsia="Calibri Light" w:hAnsi="Calibri Light" w:cs="Calibri Light"/>
          <w:b/>
          <w:bCs/>
          <w:color w:val="2F5496"/>
        </w:rPr>
        <w:lastRenderedPageBreak/>
        <w:t xml:space="preserve">Innkjøpsrutine </w:t>
      </w:r>
      <w:proofErr w:type="spellStart"/>
      <w:r w:rsidRPr="48AD5BB3">
        <w:rPr>
          <w:rFonts w:ascii="Calibri Light" w:eastAsia="Calibri Light" w:hAnsi="Calibri Light" w:cs="Calibri Light"/>
          <w:b/>
          <w:bCs/>
          <w:color w:val="2F5496"/>
        </w:rPr>
        <w:t>FKH</w:t>
      </w:r>
      <w:proofErr w:type="spellEnd"/>
      <w:r w:rsidRPr="48AD5BB3">
        <w:rPr>
          <w:rFonts w:ascii="Calibri Light" w:eastAsia="Calibri Light" w:hAnsi="Calibri Light" w:cs="Calibri Light"/>
          <w:b/>
          <w:bCs/>
          <w:color w:val="2F5496"/>
        </w:rPr>
        <w:t xml:space="preserve"> AS</w:t>
      </w:r>
    </w:p>
    <w:p w14:paraId="108F33E3" w14:textId="5EB21175" w:rsidR="48AD5BB3" w:rsidRDefault="48AD5BB3" w:rsidP="48AD5BB3">
      <w:pPr>
        <w:rPr>
          <w:rFonts w:ascii="Arial" w:eastAsia="Arial" w:hAnsi="Arial" w:cs="Arial"/>
          <w:color w:val="56524E"/>
          <w:sz w:val="23"/>
          <w:szCs w:val="23"/>
        </w:rPr>
      </w:pPr>
    </w:p>
    <w:p w14:paraId="140FA3DE" w14:textId="5ED6AF58" w:rsidR="5CCBA595" w:rsidRDefault="5CCBA595" w:rsidP="48AD5BB3">
      <w:pPr>
        <w:pStyle w:val="Undertittel"/>
        <w:spacing w:line="259" w:lineRule="auto"/>
        <w:rPr>
          <w:rFonts w:ascii="Calibri" w:eastAsia="Calibri" w:hAnsi="Calibri" w:cs="Calibri"/>
          <w:color w:val="5A5A5A"/>
          <w:sz w:val="22"/>
          <w:szCs w:val="22"/>
        </w:rPr>
      </w:pPr>
      <w:proofErr w:type="spellStart"/>
      <w:r w:rsidRPr="48AD5BB3">
        <w:rPr>
          <w:rFonts w:ascii="Calibri" w:eastAsia="Calibri" w:hAnsi="Calibri" w:cs="Calibri"/>
          <w:b/>
          <w:bCs/>
          <w:color w:val="5A5A5A"/>
          <w:sz w:val="22"/>
          <w:szCs w:val="22"/>
        </w:rPr>
        <w:t>FKH</w:t>
      </w:r>
      <w:proofErr w:type="spellEnd"/>
      <w:r w:rsidRPr="48AD5BB3">
        <w:rPr>
          <w:rFonts w:ascii="Calibri" w:eastAsia="Calibri" w:hAnsi="Calibri" w:cs="Calibri"/>
          <w:b/>
          <w:bCs/>
          <w:color w:val="5A5A5A"/>
          <w:sz w:val="22"/>
          <w:szCs w:val="22"/>
        </w:rPr>
        <w:t xml:space="preserve"> ønsker i sin innkjøpsrutine primært å støtte opp under lokale aktører og partnere som har et bevisst forhold til </w:t>
      </w:r>
      <w:proofErr w:type="spellStart"/>
      <w:r w:rsidRPr="48AD5BB3">
        <w:rPr>
          <w:rFonts w:ascii="Calibri" w:eastAsia="Calibri" w:hAnsi="Calibri" w:cs="Calibri"/>
          <w:b/>
          <w:bCs/>
          <w:color w:val="5A5A5A"/>
          <w:sz w:val="22"/>
          <w:szCs w:val="22"/>
        </w:rPr>
        <w:t>bærekraftsarbeid</w:t>
      </w:r>
      <w:proofErr w:type="spellEnd"/>
      <w:r w:rsidRPr="48AD5BB3">
        <w:rPr>
          <w:rFonts w:ascii="Calibri" w:eastAsia="Calibri" w:hAnsi="Calibri" w:cs="Calibri"/>
          <w:b/>
          <w:bCs/>
          <w:color w:val="5A5A5A"/>
          <w:sz w:val="22"/>
          <w:szCs w:val="22"/>
        </w:rPr>
        <w:t>. Alle vesentlige leverandører og vesentlige innkjøp skal vurderes i tråd med denne innkjøpsrutinen.</w:t>
      </w:r>
      <w:r w:rsidRPr="48AD5BB3">
        <w:rPr>
          <w:rFonts w:ascii="Calibri" w:eastAsia="Calibri" w:hAnsi="Calibri" w:cs="Calibri"/>
          <w:color w:val="5A5A5A"/>
          <w:sz w:val="22"/>
          <w:szCs w:val="22"/>
        </w:rPr>
        <w:t xml:space="preserve"> </w:t>
      </w:r>
    </w:p>
    <w:p w14:paraId="3D50D8D5" w14:textId="766D531A" w:rsidR="5CCBA595" w:rsidRDefault="5CCBA595" w:rsidP="48AD5BB3">
      <w:pPr>
        <w:pStyle w:val="Undertittel"/>
        <w:spacing w:line="259" w:lineRule="auto"/>
        <w:rPr>
          <w:rFonts w:ascii="Calibri" w:eastAsia="Calibri" w:hAnsi="Calibri" w:cs="Calibri"/>
          <w:color w:val="5A5A5A"/>
          <w:sz w:val="22"/>
          <w:szCs w:val="22"/>
        </w:rPr>
      </w:pPr>
      <w:r w:rsidRPr="48AD5BB3">
        <w:rPr>
          <w:rFonts w:ascii="Calibri" w:eastAsia="Calibri" w:hAnsi="Calibri" w:cs="Calibri"/>
          <w:b/>
          <w:bCs/>
          <w:color w:val="5A5A5A"/>
          <w:sz w:val="22"/>
          <w:szCs w:val="22"/>
        </w:rPr>
        <w:t>Når innkjøp skal gjennomføres skal følgende vurderinger gjøres:</w:t>
      </w:r>
    </w:p>
    <w:p w14:paraId="3CE9DF98" w14:textId="70F2FAA6"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Hva er formålet med anskaffelsen - hvilket behov skal dekkes? </w:t>
      </w:r>
    </w:p>
    <w:p w14:paraId="2361C824" w14:textId="2F8F9859"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Kan behovet dekkes med varer/tjenester som klubben allerede besitter? </w:t>
      </w:r>
    </w:p>
    <w:p w14:paraId="5A5169D7" w14:textId="6684CEE7"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Kan behovet dekkes med ombruk av varer? </w:t>
      </w:r>
    </w:p>
    <w:p w14:paraId="4A2E9CE4" w14:textId="50B617D7"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anskaffelsen åpen eller kan/bør det gjøres bruk av barter? </w:t>
      </w:r>
    </w:p>
    <w:p w14:paraId="12B98E94" w14:textId="665FDE60"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bærekrafts- og miljøvurderinger kommunisert ut til kunder og partnere som del av anskaffelsen? </w:t>
      </w:r>
    </w:p>
    <w:p w14:paraId="50570C44" w14:textId="7C9CFB64"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det gjort bærekrafts- og miljøvurderinger knyttet til anskaffelsen? Hvilken vurdering er i så fall gjort? </w:t>
      </w:r>
    </w:p>
    <w:p w14:paraId="26AAF594" w14:textId="2A378BB8"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varen og/eller leverandøren tredjepartssertifisert </w:t>
      </w:r>
      <w:proofErr w:type="spellStart"/>
      <w:r w:rsidRPr="48AD5BB3">
        <w:rPr>
          <w:rFonts w:ascii="Calibri" w:eastAsia="Calibri" w:hAnsi="Calibri" w:cs="Calibri"/>
          <w:color w:val="000000" w:themeColor="text1"/>
          <w:sz w:val="22"/>
          <w:szCs w:val="22"/>
        </w:rPr>
        <w:t>ihht</w:t>
      </w:r>
      <w:proofErr w:type="spellEnd"/>
      <w:r w:rsidRPr="48AD5BB3">
        <w:rPr>
          <w:rFonts w:ascii="Calibri" w:eastAsia="Calibri" w:hAnsi="Calibri" w:cs="Calibri"/>
          <w:color w:val="000000" w:themeColor="text1"/>
          <w:sz w:val="22"/>
          <w:szCs w:val="22"/>
        </w:rPr>
        <w:t xml:space="preserve"> en av de offisielle miljøsertifiseringsordningene som Miljøfyrtårn, ISO 140001 eller EMAS? </w:t>
      </w:r>
    </w:p>
    <w:p w14:paraId="789F3156" w14:textId="7492706F"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Er det gjennomført aktsomhetsvurderinger i tråd med forpliktelser i åpenhetsloven som del av anskaffelsen?</w:t>
      </w:r>
    </w:p>
    <w:p w14:paraId="26E80A36" w14:textId="2A1BAC69"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klubbens forventninger og vurderingskriterier i innkjøpsrutinen kommunisert til aktuelle leverandører? </w:t>
      </w:r>
    </w:p>
    <w:p w14:paraId="002EE049" w14:textId="1A3BEDF0"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Er klubbens forventninger og vurderingskriterier i innkjøpsrutinen del av kontrakten? </w:t>
      </w:r>
    </w:p>
    <w:p w14:paraId="1938007D" w14:textId="6DFA395C"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Hva var avgjørende for valg av produkt/leverandør? </w:t>
      </w:r>
    </w:p>
    <w:p w14:paraId="529AAD20" w14:textId="1CCF2001"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Vurderes anskaffelsen å være i tråd med klubbens innkjøpsrutine?  </w:t>
      </w:r>
    </w:p>
    <w:p w14:paraId="33E253B0" w14:textId="442E2C31" w:rsidR="5CCBA595" w:rsidRDefault="5CCBA595" w:rsidP="48AD5BB3">
      <w:pPr>
        <w:pStyle w:val="Listeavsnitt"/>
        <w:numPr>
          <w:ilvl w:val="0"/>
          <w:numId w:val="1"/>
        </w:num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Avvik fra innkjøpsrutinen skal gjennomgås årlig. Innkjøpsrutinen skal gjennomgås årlig.  </w:t>
      </w:r>
    </w:p>
    <w:p w14:paraId="6DF2AA8E" w14:textId="51F3CAB2" w:rsidR="48AD5BB3" w:rsidRDefault="48AD5BB3" w:rsidP="48AD5BB3">
      <w:pPr>
        <w:spacing w:line="259" w:lineRule="auto"/>
        <w:ind w:left="720"/>
        <w:rPr>
          <w:rFonts w:ascii="Calibri" w:eastAsia="Calibri" w:hAnsi="Calibri" w:cs="Calibri"/>
          <w:color w:val="000000" w:themeColor="text1"/>
          <w:sz w:val="22"/>
          <w:szCs w:val="22"/>
        </w:rPr>
      </w:pPr>
    </w:p>
    <w:p w14:paraId="1F4E88BC" w14:textId="5E863D57" w:rsidR="48AD5BB3" w:rsidRDefault="48AD5BB3" w:rsidP="48AD5BB3">
      <w:pPr>
        <w:spacing w:line="259" w:lineRule="auto"/>
        <w:ind w:left="720"/>
        <w:rPr>
          <w:rFonts w:ascii="Calibri" w:eastAsia="Calibri" w:hAnsi="Calibri" w:cs="Calibri"/>
          <w:color w:val="000000" w:themeColor="text1"/>
          <w:sz w:val="22"/>
          <w:szCs w:val="22"/>
        </w:rPr>
      </w:pPr>
    </w:p>
    <w:p w14:paraId="30C64225" w14:textId="3F12DB5B" w:rsidR="5CCBA595" w:rsidRDefault="5CCBA595" w:rsidP="48AD5BB3">
      <w:pPr>
        <w:spacing w:line="259" w:lineRule="auto"/>
        <w:rPr>
          <w:rFonts w:ascii="Calibri" w:eastAsia="Calibri" w:hAnsi="Calibri" w:cs="Calibri"/>
          <w:color w:val="000000" w:themeColor="text1"/>
          <w:sz w:val="22"/>
          <w:szCs w:val="22"/>
        </w:rPr>
      </w:pPr>
      <w:r w:rsidRPr="48AD5BB3">
        <w:rPr>
          <w:rFonts w:ascii="Calibri" w:eastAsia="Calibri" w:hAnsi="Calibri" w:cs="Calibri"/>
          <w:b/>
          <w:bCs/>
          <w:color w:val="000000" w:themeColor="text1"/>
          <w:sz w:val="22"/>
          <w:szCs w:val="22"/>
        </w:rPr>
        <w:t>Evaluering av innkjøpsrutine pr mars 2025:</w:t>
      </w:r>
    </w:p>
    <w:p w14:paraId="1186DD22" w14:textId="30B09CF8" w:rsidR="5CCBA595" w:rsidRDefault="5CCBA595" w:rsidP="48AD5BB3">
      <w:p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 xml:space="preserve">Innkjøpsrutinen er gjennomgått av daglig leder og økonomisjef 12.03.2025. Rutinen fungerer etter hensikten. </w:t>
      </w:r>
      <w:proofErr w:type="spellStart"/>
      <w:r w:rsidRPr="48AD5BB3">
        <w:rPr>
          <w:rFonts w:ascii="Calibri" w:eastAsia="Calibri" w:hAnsi="Calibri" w:cs="Calibri"/>
          <w:color w:val="000000" w:themeColor="text1"/>
          <w:sz w:val="22"/>
          <w:szCs w:val="22"/>
        </w:rPr>
        <w:t>Pkt</w:t>
      </w:r>
      <w:proofErr w:type="spellEnd"/>
      <w:r w:rsidRPr="48AD5BB3">
        <w:rPr>
          <w:rFonts w:ascii="Calibri" w:eastAsia="Calibri" w:hAnsi="Calibri" w:cs="Calibri"/>
          <w:color w:val="000000" w:themeColor="text1"/>
          <w:sz w:val="22"/>
          <w:szCs w:val="22"/>
        </w:rPr>
        <w:t xml:space="preserve"> 8 er lagt til i rutinen for å sikre at forpliktelser i tråd med åpenhetsloven blir ivaretatt. Det er ikke registrert større avvik fra rutinen. </w:t>
      </w:r>
    </w:p>
    <w:p w14:paraId="5C969F11" w14:textId="111C52A7" w:rsidR="48AD5BB3" w:rsidRDefault="48AD5BB3" w:rsidP="48AD5BB3">
      <w:pPr>
        <w:spacing w:line="259" w:lineRule="auto"/>
        <w:rPr>
          <w:rFonts w:ascii="Calibri" w:eastAsia="Calibri" w:hAnsi="Calibri" w:cs="Calibri"/>
          <w:color w:val="000000" w:themeColor="text1"/>
          <w:sz w:val="22"/>
          <w:szCs w:val="22"/>
        </w:rPr>
      </w:pPr>
    </w:p>
    <w:p w14:paraId="6323C86F" w14:textId="7B1AB228" w:rsidR="5CCBA595" w:rsidRDefault="5CCBA595" w:rsidP="48AD5BB3">
      <w:p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Martin Fauskanger</w:t>
      </w:r>
      <w:r>
        <w:tab/>
      </w:r>
      <w:r>
        <w:tab/>
      </w:r>
      <w:r>
        <w:tab/>
      </w:r>
      <w:r>
        <w:tab/>
      </w:r>
      <w:r>
        <w:tab/>
      </w:r>
      <w:r>
        <w:tab/>
      </w:r>
      <w:r w:rsidRPr="48AD5BB3">
        <w:rPr>
          <w:rFonts w:ascii="Calibri" w:eastAsia="Calibri" w:hAnsi="Calibri" w:cs="Calibri"/>
          <w:color w:val="000000" w:themeColor="text1"/>
          <w:sz w:val="22"/>
          <w:szCs w:val="22"/>
        </w:rPr>
        <w:t>Stian Vestbø</w:t>
      </w:r>
    </w:p>
    <w:p w14:paraId="2510329A" w14:textId="16C9503E" w:rsidR="5CCBA595" w:rsidRDefault="5CCBA595" w:rsidP="48AD5BB3">
      <w:pPr>
        <w:spacing w:line="259" w:lineRule="auto"/>
        <w:rPr>
          <w:rFonts w:ascii="Calibri" w:eastAsia="Calibri" w:hAnsi="Calibri" w:cs="Calibri"/>
          <w:color w:val="000000" w:themeColor="text1"/>
          <w:sz w:val="22"/>
          <w:szCs w:val="22"/>
        </w:rPr>
      </w:pPr>
      <w:r w:rsidRPr="48AD5BB3">
        <w:rPr>
          <w:rFonts w:ascii="Calibri" w:eastAsia="Calibri" w:hAnsi="Calibri" w:cs="Calibri"/>
          <w:color w:val="000000" w:themeColor="text1"/>
          <w:sz w:val="22"/>
          <w:szCs w:val="22"/>
        </w:rPr>
        <w:t>Daglig leder</w:t>
      </w:r>
      <w:r>
        <w:tab/>
      </w:r>
      <w:r>
        <w:tab/>
      </w:r>
      <w:r>
        <w:tab/>
      </w:r>
      <w:r>
        <w:tab/>
      </w:r>
      <w:r>
        <w:tab/>
      </w:r>
      <w:r>
        <w:tab/>
      </w:r>
      <w:r>
        <w:tab/>
      </w:r>
      <w:r w:rsidRPr="48AD5BB3">
        <w:rPr>
          <w:rFonts w:ascii="Calibri" w:eastAsia="Calibri" w:hAnsi="Calibri" w:cs="Calibri"/>
          <w:color w:val="000000" w:themeColor="text1"/>
          <w:sz w:val="22"/>
          <w:szCs w:val="22"/>
        </w:rPr>
        <w:t>Økonomisjef</w:t>
      </w:r>
    </w:p>
    <w:p w14:paraId="0DAD9A32" w14:textId="56E290CB" w:rsidR="48AD5BB3" w:rsidRDefault="48AD5BB3" w:rsidP="48AD5BB3"/>
    <w:sectPr w:rsidR="48AD5BB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A6BD" w14:textId="77777777" w:rsidR="005D1B6D" w:rsidRDefault="005D1B6D">
      <w:pPr>
        <w:spacing w:after="0" w:line="240" w:lineRule="auto"/>
      </w:pPr>
      <w:r>
        <w:separator/>
      </w:r>
    </w:p>
  </w:endnote>
  <w:endnote w:type="continuationSeparator" w:id="0">
    <w:p w14:paraId="6C74FE24" w14:textId="77777777" w:rsidR="005D1B6D" w:rsidRDefault="005D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D8BBE4" w14:paraId="7410A36A" w14:textId="77777777" w:rsidTr="4FD8BBE4">
      <w:trPr>
        <w:trHeight w:val="300"/>
      </w:trPr>
      <w:tc>
        <w:tcPr>
          <w:tcW w:w="3005" w:type="dxa"/>
        </w:tcPr>
        <w:p w14:paraId="089F4541" w14:textId="5CD40D40" w:rsidR="4FD8BBE4" w:rsidRDefault="4FD8BBE4" w:rsidP="4FD8BBE4">
          <w:pPr>
            <w:pStyle w:val="Topptekst"/>
            <w:ind w:left="-115"/>
          </w:pPr>
        </w:p>
      </w:tc>
      <w:tc>
        <w:tcPr>
          <w:tcW w:w="3005" w:type="dxa"/>
        </w:tcPr>
        <w:p w14:paraId="68EAF5E3" w14:textId="1CB82464" w:rsidR="4FD8BBE4" w:rsidRDefault="4FD8BBE4" w:rsidP="4FD8BBE4">
          <w:pPr>
            <w:pStyle w:val="Topptekst"/>
            <w:jc w:val="center"/>
          </w:pPr>
        </w:p>
      </w:tc>
      <w:tc>
        <w:tcPr>
          <w:tcW w:w="3005" w:type="dxa"/>
        </w:tcPr>
        <w:p w14:paraId="70C62581" w14:textId="6A28A415" w:rsidR="4FD8BBE4" w:rsidRDefault="4FD8BBE4" w:rsidP="4FD8BBE4">
          <w:pPr>
            <w:pStyle w:val="Topptekst"/>
            <w:ind w:right="-115"/>
            <w:jc w:val="right"/>
          </w:pPr>
        </w:p>
      </w:tc>
    </w:tr>
  </w:tbl>
  <w:p w14:paraId="5A63BF69" w14:textId="6F987862" w:rsidR="4FD8BBE4" w:rsidRDefault="4FD8BBE4" w:rsidP="4FD8BB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012C" w14:textId="77777777" w:rsidR="005D1B6D" w:rsidRDefault="005D1B6D">
      <w:pPr>
        <w:spacing w:after="0" w:line="240" w:lineRule="auto"/>
      </w:pPr>
      <w:r>
        <w:separator/>
      </w:r>
    </w:p>
  </w:footnote>
  <w:footnote w:type="continuationSeparator" w:id="0">
    <w:p w14:paraId="45162D8D" w14:textId="77777777" w:rsidR="005D1B6D" w:rsidRDefault="005D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D8BBE4" w14:paraId="248F8A03" w14:textId="77777777" w:rsidTr="4FD8BBE4">
      <w:trPr>
        <w:trHeight w:val="300"/>
      </w:trPr>
      <w:tc>
        <w:tcPr>
          <w:tcW w:w="3005" w:type="dxa"/>
        </w:tcPr>
        <w:p w14:paraId="0C3C4C1B" w14:textId="3C45C62A" w:rsidR="4FD8BBE4" w:rsidRDefault="4FD8BBE4" w:rsidP="4FD8BBE4">
          <w:pPr>
            <w:pStyle w:val="Topptekst"/>
            <w:ind w:left="-115"/>
          </w:pPr>
        </w:p>
      </w:tc>
      <w:tc>
        <w:tcPr>
          <w:tcW w:w="3005" w:type="dxa"/>
        </w:tcPr>
        <w:p w14:paraId="410966FA" w14:textId="58019131" w:rsidR="4FD8BBE4" w:rsidRDefault="4FD8BBE4" w:rsidP="4FD8BBE4">
          <w:pPr>
            <w:pStyle w:val="Topptekst"/>
            <w:jc w:val="center"/>
          </w:pPr>
        </w:p>
      </w:tc>
      <w:tc>
        <w:tcPr>
          <w:tcW w:w="3005" w:type="dxa"/>
        </w:tcPr>
        <w:p w14:paraId="0CCCFCF5" w14:textId="41028F2E" w:rsidR="4FD8BBE4" w:rsidRDefault="4FD8BBE4" w:rsidP="4FD8BBE4">
          <w:pPr>
            <w:ind w:right="-115"/>
            <w:jc w:val="right"/>
          </w:pPr>
          <w:r>
            <w:rPr>
              <w:noProof/>
            </w:rPr>
            <w:drawing>
              <wp:inline distT="0" distB="0" distL="0" distR="0" wp14:anchorId="20AFD14C" wp14:editId="2408A553">
                <wp:extent cx="1257300" cy="742950"/>
                <wp:effectExtent l="0" t="0" r="0" b="0"/>
                <wp:docPr id="270703878" name="Bilde 27070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742950"/>
                        </a:xfrm>
                        <a:prstGeom prst="rect">
                          <a:avLst/>
                        </a:prstGeom>
                      </pic:spPr>
                    </pic:pic>
                  </a:graphicData>
                </a:graphic>
              </wp:inline>
            </w:drawing>
          </w:r>
          <w:r>
            <w:br/>
          </w:r>
        </w:p>
      </w:tc>
    </w:tr>
  </w:tbl>
  <w:p w14:paraId="7008577A" w14:textId="1DFEB7F8" w:rsidR="4FD8BBE4" w:rsidRDefault="4FD8BBE4" w:rsidP="4FD8BB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CB9A"/>
    <w:multiLevelType w:val="hybridMultilevel"/>
    <w:tmpl w:val="DED4EE42"/>
    <w:lvl w:ilvl="0" w:tplc="DD907E38">
      <w:start w:val="1"/>
      <w:numFmt w:val="bullet"/>
      <w:lvlText w:val=""/>
      <w:lvlJc w:val="left"/>
      <w:pPr>
        <w:ind w:left="720" w:hanging="360"/>
      </w:pPr>
      <w:rPr>
        <w:rFonts w:ascii="Symbol" w:hAnsi="Symbol" w:hint="default"/>
      </w:rPr>
    </w:lvl>
    <w:lvl w:ilvl="1" w:tplc="C352BB24">
      <w:start w:val="1"/>
      <w:numFmt w:val="bullet"/>
      <w:lvlText w:val="o"/>
      <w:lvlJc w:val="left"/>
      <w:pPr>
        <w:ind w:left="1440" w:hanging="360"/>
      </w:pPr>
      <w:rPr>
        <w:rFonts w:ascii="Courier New" w:hAnsi="Courier New" w:hint="default"/>
      </w:rPr>
    </w:lvl>
    <w:lvl w:ilvl="2" w:tplc="09988756">
      <w:start w:val="1"/>
      <w:numFmt w:val="bullet"/>
      <w:lvlText w:val=""/>
      <w:lvlJc w:val="left"/>
      <w:pPr>
        <w:ind w:left="2160" w:hanging="360"/>
      </w:pPr>
      <w:rPr>
        <w:rFonts w:ascii="Wingdings" w:hAnsi="Wingdings" w:hint="default"/>
      </w:rPr>
    </w:lvl>
    <w:lvl w:ilvl="3" w:tplc="7518AE12">
      <w:start w:val="1"/>
      <w:numFmt w:val="bullet"/>
      <w:lvlText w:val=""/>
      <w:lvlJc w:val="left"/>
      <w:pPr>
        <w:ind w:left="2880" w:hanging="360"/>
      </w:pPr>
      <w:rPr>
        <w:rFonts w:ascii="Symbol" w:hAnsi="Symbol" w:hint="default"/>
      </w:rPr>
    </w:lvl>
    <w:lvl w:ilvl="4" w:tplc="99C47BAA">
      <w:start w:val="1"/>
      <w:numFmt w:val="bullet"/>
      <w:lvlText w:val="o"/>
      <w:lvlJc w:val="left"/>
      <w:pPr>
        <w:ind w:left="3600" w:hanging="360"/>
      </w:pPr>
      <w:rPr>
        <w:rFonts w:ascii="Courier New" w:hAnsi="Courier New" w:hint="default"/>
      </w:rPr>
    </w:lvl>
    <w:lvl w:ilvl="5" w:tplc="9FCA8C1E">
      <w:start w:val="1"/>
      <w:numFmt w:val="bullet"/>
      <w:lvlText w:val=""/>
      <w:lvlJc w:val="left"/>
      <w:pPr>
        <w:ind w:left="4320" w:hanging="360"/>
      </w:pPr>
      <w:rPr>
        <w:rFonts w:ascii="Wingdings" w:hAnsi="Wingdings" w:hint="default"/>
      </w:rPr>
    </w:lvl>
    <w:lvl w:ilvl="6" w:tplc="C082E0D6">
      <w:start w:val="1"/>
      <w:numFmt w:val="bullet"/>
      <w:lvlText w:val=""/>
      <w:lvlJc w:val="left"/>
      <w:pPr>
        <w:ind w:left="5040" w:hanging="360"/>
      </w:pPr>
      <w:rPr>
        <w:rFonts w:ascii="Symbol" w:hAnsi="Symbol" w:hint="default"/>
      </w:rPr>
    </w:lvl>
    <w:lvl w:ilvl="7" w:tplc="20D0326A">
      <w:start w:val="1"/>
      <w:numFmt w:val="bullet"/>
      <w:lvlText w:val="o"/>
      <w:lvlJc w:val="left"/>
      <w:pPr>
        <w:ind w:left="5760" w:hanging="360"/>
      </w:pPr>
      <w:rPr>
        <w:rFonts w:ascii="Courier New" w:hAnsi="Courier New" w:hint="default"/>
      </w:rPr>
    </w:lvl>
    <w:lvl w:ilvl="8" w:tplc="52560D68">
      <w:start w:val="1"/>
      <w:numFmt w:val="bullet"/>
      <w:lvlText w:val=""/>
      <w:lvlJc w:val="left"/>
      <w:pPr>
        <w:ind w:left="6480" w:hanging="360"/>
      </w:pPr>
      <w:rPr>
        <w:rFonts w:ascii="Wingdings" w:hAnsi="Wingdings" w:hint="default"/>
      </w:rPr>
    </w:lvl>
  </w:abstractNum>
  <w:abstractNum w:abstractNumId="1" w15:restartNumberingAfterBreak="0">
    <w:nsid w:val="45E3D9D0"/>
    <w:multiLevelType w:val="hybridMultilevel"/>
    <w:tmpl w:val="015A5610"/>
    <w:lvl w:ilvl="0" w:tplc="01022374">
      <w:start w:val="1"/>
      <w:numFmt w:val="bullet"/>
      <w:lvlText w:val=""/>
      <w:lvlJc w:val="left"/>
      <w:pPr>
        <w:ind w:left="720" w:hanging="360"/>
      </w:pPr>
      <w:rPr>
        <w:rFonts w:ascii="Symbol" w:hAnsi="Symbol" w:hint="default"/>
      </w:rPr>
    </w:lvl>
    <w:lvl w:ilvl="1" w:tplc="7FA442B0">
      <w:start w:val="1"/>
      <w:numFmt w:val="bullet"/>
      <w:lvlText w:val="o"/>
      <w:lvlJc w:val="left"/>
      <w:pPr>
        <w:ind w:left="1440" w:hanging="360"/>
      </w:pPr>
      <w:rPr>
        <w:rFonts w:ascii="Courier New" w:hAnsi="Courier New" w:hint="default"/>
      </w:rPr>
    </w:lvl>
    <w:lvl w:ilvl="2" w:tplc="AC62A446">
      <w:start w:val="1"/>
      <w:numFmt w:val="bullet"/>
      <w:lvlText w:val=""/>
      <w:lvlJc w:val="left"/>
      <w:pPr>
        <w:ind w:left="2160" w:hanging="360"/>
      </w:pPr>
      <w:rPr>
        <w:rFonts w:ascii="Wingdings" w:hAnsi="Wingdings" w:hint="default"/>
      </w:rPr>
    </w:lvl>
    <w:lvl w:ilvl="3" w:tplc="7D8E4BAE">
      <w:start w:val="1"/>
      <w:numFmt w:val="bullet"/>
      <w:lvlText w:val=""/>
      <w:lvlJc w:val="left"/>
      <w:pPr>
        <w:ind w:left="2880" w:hanging="360"/>
      </w:pPr>
      <w:rPr>
        <w:rFonts w:ascii="Symbol" w:hAnsi="Symbol" w:hint="default"/>
      </w:rPr>
    </w:lvl>
    <w:lvl w:ilvl="4" w:tplc="A1E2DBB2">
      <w:start w:val="1"/>
      <w:numFmt w:val="bullet"/>
      <w:lvlText w:val="o"/>
      <w:lvlJc w:val="left"/>
      <w:pPr>
        <w:ind w:left="3600" w:hanging="360"/>
      </w:pPr>
      <w:rPr>
        <w:rFonts w:ascii="Courier New" w:hAnsi="Courier New" w:hint="default"/>
      </w:rPr>
    </w:lvl>
    <w:lvl w:ilvl="5" w:tplc="F8580B9E">
      <w:start w:val="1"/>
      <w:numFmt w:val="bullet"/>
      <w:lvlText w:val=""/>
      <w:lvlJc w:val="left"/>
      <w:pPr>
        <w:ind w:left="4320" w:hanging="360"/>
      </w:pPr>
      <w:rPr>
        <w:rFonts w:ascii="Wingdings" w:hAnsi="Wingdings" w:hint="default"/>
      </w:rPr>
    </w:lvl>
    <w:lvl w:ilvl="6" w:tplc="F0962A7A">
      <w:start w:val="1"/>
      <w:numFmt w:val="bullet"/>
      <w:lvlText w:val=""/>
      <w:lvlJc w:val="left"/>
      <w:pPr>
        <w:ind w:left="5040" w:hanging="360"/>
      </w:pPr>
      <w:rPr>
        <w:rFonts w:ascii="Symbol" w:hAnsi="Symbol" w:hint="default"/>
      </w:rPr>
    </w:lvl>
    <w:lvl w:ilvl="7" w:tplc="F88461DE">
      <w:start w:val="1"/>
      <w:numFmt w:val="bullet"/>
      <w:lvlText w:val="o"/>
      <w:lvlJc w:val="left"/>
      <w:pPr>
        <w:ind w:left="5760" w:hanging="360"/>
      </w:pPr>
      <w:rPr>
        <w:rFonts w:ascii="Courier New" w:hAnsi="Courier New" w:hint="default"/>
      </w:rPr>
    </w:lvl>
    <w:lvl w:ilvl="8" w:tplc="F2205486">
      <w:start w:val="1"/>
      <w:numFmt w:val="bullet"/>
      <w:lvlText w:val=""/>
      <w:lvlJc w:val="left"/>
      <w:pPr>
        <w:ind w:left="6480" w:hanging="360"/>
      </w:pPr>
      <w:rPr>
        <w:rFonts w:ascii="Wingdings" w:hAnsi="Wingdings" w:hint="default"/>
      </w:rPr>
    </w:lvl>
  </w:abstractNum>
  <w:abstractNum w:abstractNumId="2" w15:restartNumberingAfterBreak="0">
    <w:nsid w:val="61A2CAF5"/>
    <w:multiLevelType w:val="hybridMultilevel"/>
    <w:tmpl w:val="53462ECE"/>
    <w:lvl w:ilvl="0" w:tplc="FAE48722">
      <w:start w:val="1"/>
      <w:numFmt w:val="decimal"/>
      <w:lvlText w:val="%1."/>
      <w:lvlJc w:val="left"/>
      <w:pPr>
        <w:ind w:left="720" w:hanging="360"/>
      </w:pPr>
      <w:rPr>
        <w:rFonts w:ascii="Calibri" w:hAnsi="Calibri" w:hint="default"/>
      </w:rPr>
    </w:lvl>
    <w:lvl w:ilvl="1" w:tplc="845C6638">
      <w:start w:val="1"/>
      <w:numFmt w:val="lowerLetter"/>
      <w:lvlText w:val="%2."/>
      <w:lvlJc w:val="left"/>
      <w:pPr>
        <w:ind w:left="1440" w:hanging="360"/>
      </w:pPr>
    </w:lvl>
    <w:lvl w:ilvl="2" w:tplc="D7BAAA68">
      <w:start w:val="1"/>
      <w:numFmt w:val="lowerRoman"/>
      <w:lvlText w:val="%3."/>
      <w:lvlJc w:val="right"/>
      <w:pPr>
        <w:ind w:left="2160" w:hanging="180"/>
      </w:pPr>
    </w:lvl>
    <w:lvl w:ilvl="3" w:tplc="0C847B0C">
      <w:start w:val="1"/>
      <w:numFmt w:val="decimal"/>
      <w:lvlText w:val="%4."/>
      <w:lvlJc w:val="left"/>
      <w:pPr>
        <w:ind w:left="2880" w:hanging="360"/>
      </w:pPr>
    </w:lvl>
    <w:lvl w:ilvl="4" w:tplc="21A8B36C">
      <w:start w:val="1"/>
      <w:numFmt w:val="lowerLetter"/>
      <w:lvlText w:val="%5."/>
      <w:lvlJc w:val="left"/>
      <w:pPr>
        <w:ind w:left="3600" w:hanging="360"/>
      </w:pPr>
    </w:lvl>
    <w:lvl w:ilvl="5" w:tplc="A39AD9EA">
      <w:start w:val="1"/>
      <w:numFmt w:val="lowerRoman"/>
      <w:lvlText w:val="%6."/>
      <w:lvlJc w:val="right"/>
      <w:pPr>
        <w:ind w:left="4320" w:hanging="180"/>
      </w:pPr>
    </w:lvl>
    <w:lvl w:ilvl="6" w:tplc="9C70F028">
      <w:start w:val="1"/>
      <w:numFmt w:val="decimal"/>
      <w:lvlText w:val="%7."/>
      <w:lvlJc w:val="left"/>
      <w:pPr>
        <w:ind w:left="5040" w:hanging="360"/>
      </w:pPr>
    </w:lvl>
    <w:lvl w:ilvl="7" w:tplc="CC78A708">
      <w:start w:val="1"/>
      <w:numFmt w:val="lowerLetter"/>
      <w:lvlText w:val="%8."/>
      <w:lvlJc w:val="left"/>
      <w:pPr>
        <w:ind w:left="5760" w:hanging="360"/>
      </w:pPr>
    </w:lvl>
    <w:lvl w:ilvl="8" w:tplc="6298D7A4">
      <w:start w:val="1"/>
      <w:numFmt w:val="lowerRoman"/>
      <w:lvlText w:val="%9."/>
      <w:lvlJc w:val="right"/>
      <w:pPr>
        <w:ind w:left="6480" w:hanging="180"/>
      </w:pPr>
    </w:lvl>
  </w:abstractNum>
  <w:abstractNum w:abstractNumId="3" w15:restartNumberingAfterBreak="0">
    <w:nsid w:val="657F3B67"/>
    <w:multiLevelType w:val="hybridMultilevel"/>
    <w:tmpl w:val="47088EBC"/>
    <w:lvl w:ilvl="0" w:tplc="402ADF42">
      <w:start w:val="1"/>
      <w:numFmt w:val="decimal"/>
      <w:lvlText w:val="%1."/>
      <w:lvlJc w:val="left"/>
      <w:pPr>
        <w:ind w:left="720" w:hanging="360"/>
      </w:pPr>
    </w:lvl>
    <w:lvl w:ilvl="1" w:tplc="8C1A393C">
      <w:start w:val="1"/>
      <w:numFmt w:val="lowerLetter"/>
      <w:lvlText w:val="%2."/>
      <w:lvlJc w:val="left"/>
      <w:pPr>
        <w:ind w:left="1440" w:hanging="360"/>
      </w:pPr>
    </w:lvl>
    <w:lvl w:ilvl="2" w:tplc="FD4C07D6">
      <w:start w:val="1"/>
      <w:numFmt w:val="lowerRoman"/>
      <w:lvlText w:val="%3."/>
      <w:lvlJc w:val="right"/>
      <w:pPr>
        <w:ind w:left="2160" w:hanging="180"/>
      </w:pPr>
    </w:lvl>
    <w:lvl w:ilvl="3" w:tplc="F302377C">
      <w:start w:val="1"/>
      <w:numFmt w:val="decimal"/>
      <w:lvlText w:val="%4."/>
      <w:lvlJc w:val="left"/>
      <w:pPr>
        <w:ind w:left="2880" w:hanging="360"/>
      </w:pPr>
    </w:lvl>
    <w:lvl w:ilvl="4" w:tplc="D7465742">
      <w:start w:val="1"/>
      <w:numFmt w:val="lowerLetter"/>
      <w:lvlText w:val="%5."/>
      <w:lvlJc w:val="left"/>
      <w:pPr>
        <w:ind w:left="3600" w:hanging="360"/>
      </w:pPr>
    </w:lvl>
    <w:lvl w:ilvl="5" w:tplc="FA86A574">
      <w:start w:val="1"/>
      <w:numFmt w:val="lowerRoman"/>
      <w:lvlText w:val="%6."/>
      <w:lvlJc w:val="right"/>
      <w:pPr>
        <w:ind w:left="4320" w:hanging="180"/>
      </w:pPr>
    </w:lvl>
    <w:lvl w:ilvl="6" w:tplc="BC54675E">
      <w:start w:val="1"/>
      <w:numFmt w:val="decimal"/>
      <w:lvlText w:val="%7."/>
      <w:lvlJc w:val="left"/>
      <w:pPr>
        <w:ind w:left="5040" w:hanging="360"/>
      </w:pPr>
    </w:lvl>
    <w:lvl w:ilvl="7" w:tplc="F53A398E">
      <w:start w:val="1"/>
      <w:numFmt w:val="lowerLetter"/>
      <w:lvlText w:val="%8."/>
      <w:lvlJc w:val="left"/>
      <w:pPr>
        <w:ind w:left="5760" w:hanging="360"/>
      </w:pPr>
    </w:lvl>
    <w:lvl w:ilvl="8" w:tplc="56126012">
      <w:start w:val="1"/>
      <w:numFmt w:val="lowerRoman"/>
      <w:lvlText w:val="%9."/>
      <w:lvlJc w:val="right"/>
      <w:pPr>
        <w:ind w:left="6480" w:hanging="180"/>
      </w:pPr>
    </w:lvl>
  </w:abstractNum>
  <w:abstractNum w:abstractNumId="4" w15:restartNumberingAfterBreak="0">
    <w:nsid w:val="6B5530EB"/>
    <w:multiLevelType w:val="hybridMultilevel"/>
    <w:tmpl w:val="30DCC96A"/>
    <w:lvl w:ilvl="0" w:tplc="71A439FC">
      <w:start w:val="1"/>
      <w:numFmt w:val="decimal"/>
      <w:lvlText w:val="%1."/>
      <w:lvlJc w:val="left"/>
      <w:pPr>
        <w:ind w:left="720" w:hanging="360"/>
      </w:pPr>
    </w:lvl>
    <w:lvl w:ilvl="1" w:tplc="F76454FE">
      <w:start w:val="1"/>
      <w:numFmt w:val="lowerLetter"/>
      <w:lvlText w:val="%2."/>
      <w:lvlJc w:val="left"/>
      <w:pPr>
        <w:ind w:left="1440" w:hanging="360"/>
      </w:pPr>
    </w:lvl>
    <w:lvl w:ilvl="2" w:tplc="FD707B1E">
      <w:start w:val="1"/>
      <w:numFmt w:val="lowerRoman"/>
      <w:lvlText w:val="%3."/>
      <w:lvlJc w:val="right"/>
      <w:pPr>
        <w:ind w:left="2160" w:hanging="180"/>
      </w:pPr>
    </w:lvl>
    <w:lvl w:ilvl="3" w:tplc="AC5AA4FA">
      <w:start w:val="1"/>
      <w:numFmt w:val="decimal"/>
      <w:lvlText w:val="%4."/>
      <w:lvlJc w:val="left"/>
      <w:pPr>
        <w:ind w:left="2880" w:hanging="360"/>
      </w:pPr>
    </w:lvl>
    <w:lvl w:ilvl="4" w:tplc="8E886F8A">
      <w:start w:val="1"/>
      <w:numFmt w:val="lowerLetter"/>
      <w:lvlText w:val="%5."/>
      <w:lvlJc w:val="left"/>
      <w:pPr>
        <w:ind w:left="3600" w:hanging="360"/>
      </w:pPr>
    </w:lvl>
    <w:lvl w:ilvl="5" w:tplc="9E06D3D6">
      <w:start w:val="1"/>
      <w:numFmt w:val="lowerRoman"/>
      <w:lvlText w:val="%6."/>
      <w:lvlJc w:val="right"/>
      <w:pPr>
        <w:ind w:left="4320" w:hanging="180"/>
      </w:pPr>
    </w:lvl>
    <w:lvl w:ilvl="6" w:tplc="30A6DA34">
      <w:start w:val="1"/>
      <w:numFmt w:val="decimal"/>
      <w:lvlText w:val="%7."/>
      <w:lvlJc w:val="left"/>
      <w:pPr>
        <w:ind w:left="5040" w:hanging="360"/>
      </w:pPr>
    </w:lvl>
    <w:lvl w:ilvl="7" w:tplc="9FDC6518">
      <w:start w:val="1"/>
      <w:numFmt w:val="lowerLetter"/>
      <w:lvlText w:val="%8."/>
      <w:lvlJc w:val="left"/>
      <w:pPr>
        <w:ind w:left="5760" w:hanging="360"/>
      </w:pPr>
    </w:lvl>
    <w:lvl w:ilvl="8" w:tplc="B9EAD7AA">
      <w:start w:val="1"/>
      <w:numFmt w:val="lowerRoman"/>
      <w:lvlText w:val="%9."/>
      <w:lvlJc w:val="right"/>
      <w:pPr>
        <w:ind w:left="6480" w:hanging="180"/>
      </w:pPr>
    </w:lvl>
  </w:abstractNum>
  <w:abstractNum w:abstractNumId="5" w15:restartNumberingAfterBreak="0">
    <w:nsid w:val="71EFF5E9"/>
    <w:multiLevelType w:val="hybridMultilevel"/>
    <w:tmpl w:val="39A25E04"/>
    <w:lvl w:ilvl="0" w:tplc="37029310">
      <w:start w:val="1"/>
      <w:numFmt w:val="bullet"/>
      <w:lvlText w:val=""/>
      <w:lvlJc w:val="left"/>
      <w:pPr>
        <w:ind w:left="720" w:hanging="360"/>
      </w:pPr>
      <w:rPr>
        <w:rFonts w:ascii="Symbol" w:hAnsi="Symbol" w:hint="default"/>
      </w:rPr>
    </w:lvl>
    <w:lvl w:ilvl="1" w:tplc="58F06C0C">
      <w:start w:val="1"/>
      <w:numFmt w:val="bullet"/>
      <w:lvlText w:val="o"/>
      <w:lvlJc w:val="left"/>
      <w:pPr>
        <w:ind w:left="1440" w:hanging="360"/>
      </w:pPr>
      <w:rPr>
        <w:rFonts w:ascii="Courier New" w:hAnsi="Courier New" w:hint="default"/>
      </w:rPr>
    </w:lvl>
    <w:lvl w:ilvl="2" w:tplc="9B6888C4">
      <w:start w:val="1"/>
      <w:numFmt w:val="bullet"/>
      <w:lvlText w:val=""/>
      <w:lvlJc w:val="left"/>
      <w:pPr>
        <w:ind w:left="2160" w:hanging="360"/>
      </w:pPr>
      <w:rPr>
        <w:rFonts w:ascii="Wingdings" w:hAnsi="Wingdings" w:hint="default"/>
      </w:rPr>
    </w:lvl>
    <w:lvl w:ilvl="3" w:tplc="3E7C9F94">
      <w:start w:val="1"/>
      <w:numFmt w:val="bullet"/>
      <w:lvlText w:val=""/>
      <w:lvlJc w:val="left"/>
      <w:pPr>
        <w:ind w:left="2880" w:hanging="360"/>
      </w:pPr>
      <w:rPr>
        <w:rFonts w:ascii="Symbol" w:hAnsi="Symbol" w:hint="default"/>
      </w:rPr>
    </w:lvl>
    <w:lvl w:ilvl="4" w:tplc="9984076A">
      <w:start w:val="1"/>
      <w:numFmt w:val="bullet"/>
      <w:lvlText w:val="o"/>
      <w:lvlJc w:val="left"/>
      <w:pPr>
        <w:ind w:left="3600" w:hanging="360"/>
      </w:pPr>
      <w:rPr>
        <w:rFonts w:ascii="Courier New" w:hAnsi="Courier New" w:hint="default"/>
      </w:rPr>
    </w:lvl>
    <w:lvl w:ilvl="5" w:tplc="C172D914">
      <w:start w:val="1"/>
      <w:numFmt w:val="bullet"/>
      <w:lvlText w:val=""/>
      <w:lvlJc w:val="left"/>
      <w:pPr>
        <w:ind w:left="4320" w:hanging="360"/>
      </w:pPr>
      <w:rPr>
        <w:rFonts w:ascii="Wingdings" w:hAnsi="Wingdings" w:hint="default"/>
      </w:rPr>
    </w:lvl>
    <w:lvl w:ilvl="6" w:tplc="8760E9CC">
      <w:start w:val="1"/>
      <w:numFmt w:val="bullet"/>
      <w:lvlText w:val=""/>
      <w:lvlJc w:val="left"/>
      <w:pPr>
        <w:ind w:left="5040" w:hanging="360"/>
      </w:pPr>
      <w:rPr>
        <w:rFonts w:ascii="Symbol" w:hAnsi="Symbol" w:hint="default"/>
      </w:rPr>
    </w:lvl>
    <w:lvl w:ilvl="7" w:tplc="CE564C00">
      <w:start w:val="1"/>
      <w:numFmt w:val="bullet"/>
      <w:lvlText w:val="o"/>
      <w:lvlJc w:val="left"/>
      <w:pPr>
        <w:ind w:left="5760" w:hanging="360"/>
      </w:pPr>
      <w:rPr>
        <w:rFonts w:ascii="Courier New" w:hAnsi="Courier New" w:hint="default"/>
      </w:rPr>
    </w:lvl>
    <w:lvl w:ilvl="8" w:tplc="FE92AE4E">
      <w:start w:val="1"/>
      <w:numFmt w:val="bullet"/>
      <w:lvlText w:val=""/>
      <w:lvlJc w:val="left"/>
      <w:pPr>
        <w:ind w:left="6480" w:hanging="360"/>
      </w:pPr>
      <w:rPr>
        <w:rFonts w:ascii="Wingdings" w:hAnsi="Wingdings" w:hint="default"/>
      </w:rPr>
    </w:lvl>
  </w:abstractNum>
  <w:abstractNum w:abstractNumId="6" w15:restartNumberingAfterBreak="0">
    <w:nsid w:val="7A0A26AF"/>
    <w:multiLevelType w:val="hybridMultilevel"/>
    <w:tmpl w:val="93AC9E62"/>
    <w:lvl w:ilvl="0" w:tplc="BEE86E20">
      <w:start w:val="1"/>
      <w:numFmt w:val="decimal"/>
      <w:lvlText w:val="%1."/>
      <w:lvlJc w:val="left"/>
      <w:pPr>
        <w:ind w:left="720" w:hanging="360"/>
      </w:pPr>
      <w:rPr>
        <w:rFonts w:ascii="Aptos" w:hAnsi="Aptos" w:hint="default"/>
      </w:rPr>
    </w:lvl>
    <w:lvl w:ilvl="1" w:tplc="1D7C8A66">
      <w:start w:val="1"/>
      <w:numFmt w:val="lowerLetter"/>
      <w:lvlText w:val="%2."/>
      <w:lvlJc w:val="left"/>
      <w:pPr>
        <w:ind w:left="1440" w:hanging="360"/>
      </w:pPr>
    </w:lvl>
    <w:lvl w:ilvl="2" w:tplc="038208AE">
      <w:start w:val="1"/>
      <w:numFmt w:val="lowerRoman"/>
      <w:lvlText w:val="%3."/>
      <w:lvlJc w:val="right"/>
      <w:pPr>
        <w:ind w:left="2160" w:hanging="180"/>
      </w:pPr>
    </w:lvl>
    <w:lvl w:ilvl="3" w:tplc="7CE28ACA">
      <w:start w:val="1"/>
      <w:numFmt w:val="decimal"/>
      <w:lvlText w:val="%4."/>
      <w:lvlJc w:val="left"/>
      <w:pPr>
        <w:ind w:left="2880" w:hanging="360"/>
      </w:pPr>
    </w:lvl>
    <w:lvl w:ilvl="4" w:tplc="E0C8DE8A">
      <w:start w:val="1"/>
      <w:numFmt w:val="lowerLetter"/>
      <w:lvlText w:val="%5."/>
      <w:lvlJc w:val="left"/>
      <w:pPr>
        <w:ind w:left="3600" w:hanging="360"/>
      </w:pPr>
    </w:lvl>
    <w:lvl w:ilvl="5" w:tplc="17BAB8D6">
      <w:start w:val="1"/>
      <w:numFmt w:val="lowerRoman"/>
      <w:lvlText w:val="%6."/>
      <w:lvlJc w:val="right"/>
      <w:pPr>
        <w:ind w:left="4320" w:hanging="180"/>
      </w:pPr>
    </w:lvl>
    <w:lvl w:ilvl="6" w:tplc="6BAE6C72">
      <w:start w:val="1"/>
      <w:numFmt w:val="decimal"/>
      <w:lvlText w:val="%7."/>
      <w:lvlJc w:val="left"/>
      <w:pPr>
        <w:ind w:left="5040" w:hanging="360"/>
      </w:pPr>
    </w:lvl>
    <w:lvl w:ilvl="7" w:tplc="AB765C1E">
      <w:start w:val="1"/>
      <w:numFmt w:val="lowerLetter"/>
      <w:lvlText w:val="%8."/>
      <w:lvlJc w:val="left"/>
      <w:pPr>
        <w:ind w:left="5760" w:hanging="360"/>
      </w:pPr>
    </w:lvl>
    <w:lvl w:ilvl="8" w:tplc="56BCC6AA">
      <w:start w:val="1"/>
      <w:numFmt w:val="lowerRoman"/>
      <w:lvlText w:val="%9."/>
      <w:lvlJc w:val="right"/>
      <w:pPr>
        <w:ind w:left="6480" w:hanging="180"/>
      </w:pPr>
    </w:lvl>
  </w:abstractNum>
  <w:num w:numId="1" w16cid:durableId="198856661">
    <w:abstractNumId w:val="2"/>
  </w:num>
  <w:num w:numId="2" w16cid:durableId="1346905497">
    <w:abstractNumId w:val="0"/>
  </w:num>
  <w:num w:numId="3" w16cid:durableId="230581604">
    <w:abstractNumId w:val="5"/>
  </w:num>
  <w:num w:numId="4" w16cid:durableId="1546527482">
    <w:abstractNumId w:val="6"/>
  </w:num>
  <w:num w:numId="5" w16cid:durableId="1636063707">
    <w:abstractNumId w:val="1"/>
  </w:num>
  <w:num w:numId="6" w16cid:durableId="1604605500">
    <w:abstractNumId w:val="3"/>
  </w:num>
  <w:num w:numId="7" w16cid:durableId="140348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DE2CBE"/>
    <w:rsid w:val="000C01BC"/>
    <w:rsid w:val="000C0E7B"/>
    <w:rsid w:val="005D1B6D"/>
    <w:rsid w:val="00B00513"/>
    <w:rsid w:val="00BF75F4"/>
    <w:rsid w:val="00EDA36C"/>
    <w:rsid w:val="03A69EAA"/>
    <w:rsid w:val="0413F7B4"/>
    <w:rsid w:val="04A2EA70"/>
    <w:rsid w:val="090ECE6C"/>
    <w:rsid w:val="09DF78CE"/>
    <w:rsid w:val="0B7C7728"/>
    <w:rsid w:val="1452814F"/>
    <w:rsid w:val="1715F6C4"/>
    <w:rsid w:val="180775E8"/>
    <w:rsid w:val="256DC995"/>
    <w:rsid w:val="258C2A1F"/>
    <w:rsid w:val="276EAFDD"/>
    <w:rsid w:val="29285BA9"/>
    <w:rsid w:val="29922A5C"/>
    <w:rsid w:val="29DE2CBE"/>
    <w:rsid w:val="2D6F34FA"/>
    <w:rsid w:val="2EC56C42"/>
    <w:rsid w:val="2F6B7A25"/>
    <w:rsid w:val="2FBD775D"/>
    <w:rsid w:val="31C9C65D"/>
    <w:rsid w:val="323BC595"/>
    <w:rsid w:val="32A46A48"/>
    <w:rsid w:val="3496A6F1"/>
    <w:rsid w:val="3A08141D"/>
    <w:rsid w:val="3AC72B4E"/>
    <w:rsid w:val="3C59E9DB"/>
    <w:rsid w:val="3C98BA69"/>
    <w:rsid w:val="45F8129D"/>
    <w:rsid w:val="48AD5BB3"/>
    <w:rsid w:val="49E3BE50"/>
    <w:rsid w:val="4B0A8FEB"/>
    <w:rsid w:val="4C7326CE"/>
    <w:rsid w:val="4DEF2169"/>
    <w:rsid w:val="4FD8BBE4"/>
    <w:rsid w:val="5034A3F7"/>
    <w:rsid w:val="518DF8FD"/>
    <w:rsid w:val="545577E5"/>
    <w:rsid w:val="55239B78"/>
    <w:rsid w:val="557A9E1E"/>
    <w:rsid w:val="5BF8E252"/>
    <w:rsid w:val="5BFE88B9"/>
    <w:rsid w:val="5CCBA595"/>
    <w:rsid w:val="5DD656E1"/>
    <w:rsid w:val="5E7D77A3"/>
    <w:rsid w:val="600C4974"/>
    <w:rsid w:val="63ED3752"/>
    <w:rsid w:val="64D1D92C"/>
    <w:rsid w:val="69FE9A70"/>
    <w:rsid w:val="6A0EC8A2"/>
    <w:rsid w:val="6BE1EC76"/>
    <w:rsid w:val="6C2A24C6"/>
    <w:rsid w:val="6D34F0C8"/>
    <w:rsid w:val="6D3D0751"/>
    <w:rsid w:val="76384116"/>
    <w:rsid w:val="76701F96"/>
    <w:rsid w:val="77899153"/>
    <w:rsid w:val="77E31F2B"/>
    <w:rsid w:val="7866F8A3"/>
    <w:rsid w:val="79D268C1"/>
    <w:rsid w:val="7A0A7C87"/>
    <w:rsid w:val="7AA5F39C"/>
    <w:rsid w:val="7B88B51D"/>
    <w:rsid w:val="7D0C9287"/>
    <w:rsid w:val="7F8AB4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2CBE"/>
  <w15:chartTrackingRefBased/>
  <w15:docId w15:val="{9C12FF96-40D9-46AA-B85A-6B0F28E0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4FD8BBE4"/>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Overskrift2">
    <w:name w:val="heading 2"/>
    <w:basedOn w:val="Normal"/>
    <w:next w:val="Normal"/>
    <w:uiPriority w:val="9"/>
    <w:unhideWhenUsed/>
    <w:qFormat/>
    <w:rsid w:val="4FD8BBE4"/>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uiPriority w:val="99"/>
    <w:unhideWhenUsed/>
    <w:rsid w:val="4FD8BBE4"/>
    <w:pPr>
      <w:tabs>
        <w:tab w:val="center" w:pos="4680"/>
        <w:tab w:val="right" w:pos="9360"/>
      </w:tabs>
      <w:spacing w:after="0" w:line="240" w:lineRule="auto"/>
    </w:pPr>
  </w:style>
  <w:style w:type="paragraph" w:styleId="Bunntekst">
    <w:name w:val="footer"/>
    <w:basedOn w:val="Normal"/>
    <w:uiPriority w:val="99"/>
    <w:unhideWhenUsed/>
    <w:rsid w:val="4FD8BBE4"/>
    <w:pPr>
      <w:tabs>
        <w:tab w:val="center" w:pos="4680"/>
        <w:tab w:val="right" w:pos="9360"/>
      </w:tabs>
      <w:spacing w:after="0" w:line="240" w:lineRule="auto"/>
    </w:pPr>
  </w:style>
  <w:style w:type="character" w:styleId="Hyperkobling">
    <w:name w:val="Hyperlink"/>
    <w:basedOn w:val="Standardskriftforavsnitt"/>
    <w:uiPriority w:val="99"/>
    <w:unhideWhenUsed/>
    <w:rsid w:val="4FD8BBE4"/>
    <w:rPr>
      <w:color w:val="467886"/>
      <w:u w:val="single"/>
    </w:rPr>
  </w:style>
  <w:style w:type="paragraph" w:styleId="Listeavsnitt">
    <w:name w:val="List Paragraph"/>
    <w:basedOn w:val="Normal"/>
    <w:uiPriority w:val="34"/>
    <w:qFormat/>
    <w:rsid w:val="4FD8BBE4"/>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Undertittel">
    <w:name w:val="Subtitle"/>
    <w:basedOn w:val="Normal"/>
    <w:next w:val="Normal"/>
    <w:uiPriority w:val="11"/>
    <w:qFormat/>
    <w:rsid w:val="48AD5BB3"/>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footballforthegoals" TargetMode="External"/><Relationship Id="rId13" Type="http://schemas.openxmlformats.org/officeDocument/2006/relationships/hyperlink" Target="mailto:media@fkh.no" TargetMode="External"/><Relationship Id="rId3" Type="http://schemas.openxmlformats.org/officeDocument/2006/relationships/settings" Target="settings.xml"/><Relationship Id="rId7" Type="http://schemas.openxmlformats.org/officeDocument/2006/relationships/hyperlink" Target="https://lovdata.no/dokument/NL/lov/2021-06-18-99" TargetMode="External"/><Relationship Id="rId12" Type="http://schemas.openxmlformats.org/officeDocument/2006/relationships/hyperlink" Target="https://view.officeapps.live.com/op/view.aspx?src=https%3A%2F%2Fwww.fkh.no%2Fdokument%2FSanksjonsreglement%2520FK%2520Haugesund.docx&amp;wdOrigin=BROWSELI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kh.no/nyheter/arenaregl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itorial.uefa.com/resources/0270-13f888ffa3e5-931c597968cb-1000/uefa_football_sustainability_strategy.pdf" TargetMode="External"/><Relationship Id="rId4" Type="http://schemas.openxmlformats.org/officeDocument/2006/relationships/webSettings" Target="webSettings.xml"/><Relationship Id="rId9" Type="http://schemas.openxmlformats.org/officeDocument/2006/relationships/hyperlink" Target="https://www.ohchr.org/sites/default/files/documents/publications/guidingprinciplesbusinesshr_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10373</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Birkeland</dc:creator>
  <cp:keywords/>
  <dc:description/>
  <cp:lastModifiedBy>Runar Nordvik</cp:lastModifiedBy>
  <cp:revision>2</cp:revision>
  <dcterms:created xsi:type="dcterms:W3CDTF">2025-04-24T07:00:00Z</dcterms:created>
  <dcterms:modified xsi:type="dcterms:W3CDTF">2025-04-24T07:00:00Z</dcterms:modified>
</cp:coreProperties>
</file>